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C78" w:rsidRDefault="00F42920">
      <w:bookmarkStart w:id="0" w:name="_GoBack"/>
      <w:bookmarkEnd w:id="0"/>
      <w:r w:rsidRPr="00F42920">
        <w:rPr>
          <w:sz w:val="28"/>
          <w:szCs w:val="28"/>
        </w:rPr>
        <w:t>Opetus- ja kulttuuriministeriö</w:t>
      </w:r>
      <w:r>
        <w:tab/>
      </w:r>
      <w:r>
        <w:tab/>
      </w:r>
      <w:r>
        <w:tab/>
      </w:r>
      <w:r>
        <w:tab/>
      </w:r>
      <w:r w:rsidR="00D3091C">
        <w:t>11.6.2013</w:t>
      </w:r>
    </w:p>
    <w:p w:rsidR="00F42920" w:rsidRDefault="007D4807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42920" w:rsidRPr="009458BD" w:rsidRDefault="009458BD">
      <w:pPr>
        <w:rPr>
          <w:b/>
          <w:sz w:val="28"/>
          <w:szCs w:val="28"/>
        </w:rPr>
      </w:pPr>
      <w:r w:rsidRPr="009458BD">
        <w:rPr>
          <w:b/>
          <w:sz w:val="28"/>
          <w:szCs w:val="28"/>
        </w:rPr>
        <w:t xml:space="preserve">Kokonaisarkkitehtuuriperiaatteet </w:t>
      </w:r>
      <w:r w:rsidR="00A77735">
        <w:rPr>
          <w:b/>
          <w:sz w:val="28"/>
          <w:szCs w:val="28"/>
        </w:rPr>
        <w:t>Koulutus, tiede</w:t>
      </w:r>
      <w:r w:rsidRPr="009458BD">
        <w:rPr>
          <w:b/>
          <w:sz w:val="28"/>
          <w:szCs w:val="28"/>
        </w:rPr>
        <w:t xml:space="preserve"> </w:t>
      </w:r>
      <w:r w:rsidR="00A77735">
        <w:rPr>
          <w:b/>
          <w:sz w:val="28"/>
          <w:szCs w:val="28"/>
        </w:rPr>
        <w:t xml:space="preserve">ja kulttuuri </w:t>
      </w:r>
      <w:r w:rsidRPr="009458BD">
        <w:rPr>
          <w:b/>
          <w:sz w:val="28"/>
          <w:szCs w:val="28"/>
        </w:rPr>
        <w:t>kohdealueella</w:t>
      </w:r>
    </w:p>
    <w:p w:rsidR="009458BD" w:rsidRDefault="00551D3F">
      <w:r>
        <w:t xml:space="preserve">Tämä dokumentti sisältää opetus- ja kulttuuriministeriön </w:t>
      </w:r>
      <w:r w:rsidR="00A77735">
        <w:t xml:space="preserve">vastuulla olevalla </w:t>
      </w:r>
      <w:r>
        <w:t xml:space="preserve">kohdealueella noudatettavat kokonaisarkkitehtuuriperiaatteet. </w:t>
      </w:r>
      <w:r w:rsidR="00FA5136">
        <w:t>Opetus- ja kulttuuriministeriö soveltaa periaatteita myös omassa virastotason kokonaisarkkitehtuurissaan.</w:t>
      </w:r>
    </w:p>
    <w:p w:rsidR="00DD500F" w:rsidRDefault="00225F9E" w:rsidP="009669B7">
      <w:pPr>
        <w:spacing w:after="0"/>
      </w:pPr>
      <w:r>
        <w:t xml:space="preserve">Opetus- ja kulttuuriministeriön vastuulla oleva kohdealue on </w:t>
      </w:r>
      <w:r w:rsidR="00FA5136" w:rsidRPr="00FA5136">
        <w:t>Koulutus, tiede</w:t>
      </w:r>
      <w:r w:rsidR="00D72E79">
        <w:t xml:space="preserve"> ja</w:t>
      </w:r>
      <w:r w:rsidR="00FA5136" w:rsidRPr="00FA5136">
        <w:t xml:space="preserve"> kulttuuri</w:t>
      </w:r>
      <w:r w:rsidR="00FA5136">
        <w:t>. Sen osa-alue</w:t>
      </w:r>
      <w:r w:rsidR="00DD500F">
        <w:t>e</w:t>
      </w:r>
      <w:r w:rsidR="00FA5136">
        <w:t>t</w:t>
      </w:r>
      <w:r w:rsidR="009669B7">
        <w:t xml:space="preserve"> </w:t>
      </w:r>
      <w:r w:rsidR="00FA5136">
        <w:t xml:space="preserve">ovat </w:t>
      </w:r>
    </w:p>
    <w:p w:rsidR="00DD500F" w:rsidRDefault="00DD500F" w:rsidP="009669B7">
      <w:pPr>
        <w:spacing w:after="0"/>
      </w:pPr>
      <w:r>
        <w:t>•</w:t>
      </w:r>
      <w:r>
        <w:tab/>
        <w:t>Koulutus ja tutkimus</w:t>
      </w:r>
    </w:p>
    <w:p w:rsidR="00DD500F" w:rsidRDefault="00DD500F" w:rsidP="009669B7">
      <w:pPr>
        <w:spacing w:after="0"/>
      </w:pPr>
      <w:r>
        <w:t>•</w:t>
      </w:r>
      <w:r>
        <w:tab/>
        <w:t>Taide ja kulttuuri</w:t>
      </w:r>
    </w:p>
    <w:p w:rsidR="00DD500F" w:rsidRDefault="00DD500F" w:rsidP="009669B7">
      <w:pPr>
        <w:spacing w:after="0"/>
      </w:pPr>
      <w:r>
        <w:t>•</w:t>
      </w:r>
      <w:r>
        <w:tab/>
        <w:t>Kirjastot, arkistot, museot</w:t>
      </w:r>
    </w:p>
    <w:p w:rsidR="00DD500F" w:rsidRDefault="00DD500F" w:rsidP="009669B7">
      <w:pPr>
        <w:spacing w:after="0"/>
      </w:pPr>
      <w:r>
        <w:t>•</w:t>
      </w:r>
      <w:r>
        <w:tab/>
        <w:t>Liikunta</w:t>
      </w:r>
    </w:p>
    <w:p w:rsidR="00225F9E" w:rsidRDefault="00DD500F" w:rsidP="009669B7">
      <w:pPr>
        <w:spacing w:after="0"/>
      </w:pPr>
      <w:r>
        <w:t>•</w:t>
      </w:r>
      <w:r>
        <w:tab/>
        <w:t>Nuorisotyö</w:t>
      </w:r>
    </w:p>
    <w:p w:rsidR="009669B7" w:rsidRDefault="009669B7"/>
    <w:p w:rsidR="00DD3EC6" w:rsidRDefault="00DD3EC6">
      <w:r w:rsidRPr="00103C1C">
        <w:t>Kohdealueen kokonaisarkkitehtuurin kehittämisen ja ylläpidon organisointi ja toimijoiden roolit kuvataan arkkitehtuurin hallintamallissa.</w:t>
      </w:r>
    </w:p>
    <w:p w:rsidR="00674A85" w:rsidRDefault="00674A85" w:rsidP="00674A85">
      <w:pPr>
        <w:pStyle w:val="Otsikko1"/>
        <w:numPr>
          <w:ilvl w:val="0"/>
          <w:numId w:val="1"/>
        </w:numPr>
      </w:pPr>
      <w:r>
        <w:t>Yleiset</w:t>
      </w:r>
      <w:r w:rsidRPr="0019744B">
        <w:t xml:space="preserve"> periaatteet</w:t>
      </w:r>
    </w:p>
    <w:p w:rsidR="00674A85" w:rsidRDefault="00674A85"/>
    <w:p w:rsidR="00402083" w:rsidRDefault="00402083" w:rsidP="00402083">
      <w:r>
        <w:t>Yleisten arkkitehtuuriperiaatteiden osalta kohdealueella noudatetaan valtiovarainministeriön julkaisemia julkisen hallinnon kokonaisarkkitehtuuriperiaatteita</w:t>
      </w:r>
      <w:r w:rsidR="001F3733">
        <w:rPr>
          <w:rStyle w:val="Alaviitteenviite"/>
        </w:rPr>
        <w:footnoteReference w:id="1"/>
      </w:r>
      <w:r>
        <w:t>. Niiden lisäksi kohdealueella noudatetaan seuraavia yleisiä periaatteita.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951"/>
        <w:gridCol w:w="7827"/>
      </w:tblGrid>
      <w:tr w:rsidR="00975891" w:rsidRPr="00E31C87" w:rsidTr="00C0441A">
        <w:tc>
          <w:tcPr>
            <w:tcW w:w="1951" w:type="dxa"/>
          </w:tcPr>
          <w:p w:rsidR="00975891" w:rsidRPr="00E31C87" w:rsidRDefault="00975891" w:rsidP="00C0441A">
            <w:pPr>
              <w:rPr>
                <w:b/>
              </w:rPr>
            </w:pPr>
            <w:r w:rsidRPr="00E31C87">
              <w:rPr>
                <w:b/>
              </w:rPr>
              <w:t xml:space="preserve">Periaate </w:t>
            </w:r>
            <w:r>
              <w:rPr>
                <w:b/>
              </w:rPr>
              <w:t>1</w:t>
            </w:r>
          </w:p>
        </w:tc>
        <w:tc>
          <w:tcPr>
            <w:tcW w:w="7827" w:type="dxa"/>
          </w:tcPr>
          <w:p w:rsidR="00975891" w:rsidRPr="00E31C87" w:rsidRDefault="00975891" w:rsidP="00C0441A">
            <w:pPr>
              <w:rPr>
                <w:b/>
              </w:rPr>
            </w:pPr>
            <w:r>
              <w:rPr>
                <w:b/>
              </w:rPr>
              <w:t>Kohdealueen</w:t>
            </w:r>
            <w:r w:rsidRPr="00BF3CD3">
              <w:rPr>
                <w:b/>
              </w:rPr>
              <w:t xml:space="preserve"> arkkitehtuurin tulee olla</w:t>
            </w:r>
            <w:r>
              <w:rPr>
                <w:b/>
              </w:rPr>
              <w:t xml:space="preserve"> </w:t>
            </w:r>
            <w:r w:rsidRPr="00BF3CD3">
              <w:rPr>
                <w:b/>
              </w:rPr>
              <w:t>strategialähtöistä</w:t>
            </w:r>
          </w:p>
        </w:tc>
      </w:tr>
      <w:tr w:rsidR="00975891" w:rsidTr="00C0441A">
        <w:tc>
          <w:tcPr>
            <w:tcW w:w="1951" w:type="dxa"/>
          </w:tcPr>
          <w:p w:rsidR="00975891" w:rsidRDefault="00975891" w:rsidP="00C0441A">
            <w:r>
              <w:t>Selitys</w:t>
            </w:r>
          </w:p>
          <w:p w:rsidR="00975891" w:rsidRDefault="00975891" w:rsidP="00C0441A"/>
        </w:tc>
        <w:tc>
          <w:tcPr>
            <w:tcW w:w="7827" w:type="dxa"/>
          </w:tcPr>
          <w:p w:rsidR="00975891" w:rsidRDefault="00975891" w:rsidP="00C0441A">
            <w:r>
              <w:t xml:space="preserve">Kohdealueen arkkitehtuurilla toteutetaan kohdealueen kehittämistä koskevia poliittisia linjauksia ja toimintastrategioita. </w:t>
            </w:r>
          </w:p>
        </w:tc>
      </w:tr>
      <w:tr w:rsidR="00975891" w:rsidTr="00C0441A">
        <w:tc>
          <w:tcPr>
            <w:tcW w:w="1951" w:type="dxa"/>
          </w:tcPr>
          <w:p w:rsidR="00975891" w:rsidRDefault="00975891" w:rsidP="00C0441A">
            <w:r>
              <w:t>Peruste</w:t>
            </w:r>
          </w:p>
          <w:p w:rsidR="00975891" w:rsidRDefault="00975891" w:rsidP="00C0441A"/>
        </w:tc>
        <w:tc>
          <w:tcPr>
            <w:tcW w:w="7827" w:type="dxa"/>
          </w:tcPr>
          <w:p w:rsidR="00975891" w:rsidRDefault="00975891" w:rsidP="00B439A4">
            <w:r>
              <w:t>Kokonaisarkkitehtuuri on välineistö, jonka avulla ylimmän tason yhteiskunnallisia tavoitteita</w:t>
            </w:r>
            <w:r w:rsidR="003605C4">
              <w:t xml:space="preserve"> (esimerkiksi sivistyksellinen tasa-arvo) ja strategioita</w:t>
            </w:r>
            <w:r>
              <w:t xml:space="preserve"> viedään kohdealueen toiminnassa käytettävien tietojen, järjestelmien ja palvelujen tasolle. Strategioita ovat esim. hallitusohjelma, koulutuksen ja tutkimuksen kehittämissuunnitelma</w:t>
            </w:r>
            <w:r w:rsidR="00B439A4">
              <w:t>,</w:t>
            </w:r>
            <w:r>
              <w:t xml:space="preserve"> lasten ja nuorten kehittämisohjelma (LANUKE)</w:t>
            </w:r>
            <w:r w:rsidR="00B439A4">
              <w:t xml:space="preserve"> ja ministeriön strategia</w:t>
            </w:r>
            <w:r>
              <w:t>.</w:t>
            </w:r>
          </w:p>
        </w:tc>
      </w:tr>
      <w:tr w:rsidR="00975891" w:rsidTr="00C0441A">
        <w:tc>
          <w:tcPr>
            <w:tcW w:w="1951" w:type="dxa"/>
          </w:tcPr>
          <w:p w:rsidR="00975891" w:rsidRDefault="00975891" w:rsidP="00C0441A">
            <w:r>
              <w:t>Vaikutus</w:t>
            </w:r>
          </w:p>
          <w:p w:rsidR="00975891" w:rsidRDefault="00975891" w:rsidP="00C0441A"/>
        </w:tc>
        <w:tc>
          <w:tcPr>
            <w:tcW w:w="7827" w:type="dxa"/>
          </w:tcPr>
          <w:p w:rsidR="00975891" w:rsidRDefault="002F7FA4" w:rsidP="002F7FA4">
            <w:r>
              <w:t>Tietojärjestelmät, palvelut ja tiedonhallinta tukevat p</w:t>
            </w:r>
            <w:r w:rsidR="00580475">
              <w:t>oliittisten linjausten ja strat</w:t>
            </w:r>
            <w:r>
              <w:t>egioiden toteuttamista ja mahdollistavat niiden toteutumisen seurannan.</w:t>
            </w:r>
          </w:p>
        </w:tc>
      </w:tr>
    </w:tbl>
    <w:p w:rsidR="00975891" w:rsidRPr="009458BD" w:rsidRDefault="00975891" w:rsidP="00975891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951"/>
        <w:gridCol w:w="7827"/>
      </w:tblGrid>
      <w:tr w:rsidR="001138D1" w:rsidRPr="00E31C87" w:rsidTr="00BA6B12">
        <w:tc>
          <w:tcPr>
            <w:tcW w:w="1951" w:type="dxa"/>
          </w:tcPr>
          <w:p w:rsidR="001138D1" w:rsidRPr="00E31C87" w:rsidRDefault="001138D1" w:rsidP="00975891">
            <w:pPr>
              <w:rPr>
                <w:b/>
              </w:rPr>
            </w:pPr>
            <w:r w:rsidRPr="00E31C87">
              <w:rPr>
                <w:b/>
              </w:rPr>
              <w:t xml:space="preserve">Periaate </w:t>
            </w:r>
            <w:r w:rsidR="00975891">
              <w:rPr>
                <w:b/>
              </w:rPr>
              <w:t>2</w:t>
            </w:r>
          </w:p>
        </w:tc>
        <w:tc>
          <w:tcPr>
            <w:tcW w:w="7827" w:type="dxa"/>
          </w:tcPr>
          <w:p w:rsidR="001138D1" w:rsidRPr="00E31C87" w:rsidRDefault="001138D1" w:rsidP="00975891">
            <w:pPr>
              <w:rPr>
                <w:b/>
              </w:rPr>
            </w:pPr>
            <w:r>
              <w:rPr>
                <w:b/>
              </w:rPr>
              <w:t>A</w:t>
            </w:r>
            <w:r w:rsidRPr="00BF3CD3">
              <w:rPr>
                <w:b/>
              </w:rPr>
              <w:t>rkkitehtuurin tulee olla</w:t>
            </w:r>
            <w:r>
              <w:rPr>
                <w:b/>
              </w:rPr>
              <w:t xml:space="preserve"> </w:t>
            </w:r>
            <w:r w:rsidR="00975891">
              <w:rPr>
                <w:b/>
              </w:rPr>
              <w:t>toiminta</w:t>
            </w:r>
            <w:r w:rsidR="00D10811">
              <w:rPr>
                <w:b/>
              </w:rPr>
              <w:t>- ja asiakas</w:t>
            </w:r>
            <w:r w:rsidRPr="00BF3CD3">
              <w:rPr>
                <w:b/>
              </w:rPr>
              <w:t>lähtöistä</w:t>
            </w:r>
          </w:p>
        </w:tc>
      </w:tr>
      <w:tr w:rsidR="001138D1" w:rsidTr="00BA6B12">
        <w:tc>
          <w:tcPr>
            <w:tcW w:w="1951" w:type="dxa"/>
          </w:tcPr>
          <w:p w:rsidR="001138D1" w:rsidRDefault="001138D1" w:rsidP="00BA6B12">
            <w:r>
              <w:t>Selitys</w:t>
            </w:r>
          </w:p>
          <w:p w:rsidR="001138D1" w:rsidRDefault="001138D1" w:rsidP="00BA6B12"/>
        </w:tc>
        <w:tc>
          <w:tcPr>
            <w:tcW w:w="7827" w:type="dxa"/>
          </w:tcPr>
          <w:p w:rsidR="001138D1" w:rsidRDefault="007D4807" w:rsidP="00BA6B12">
            <w:r>
              <w:t>Arkkitehtuurissa otetaan huomioon eri asiakas</w:t>
            </w:r>
            <w:r w:rsidR="00975891">
              <w:t>- ja sidos</w:t>
            </w:r>
            <w:r>
              <w:t>ryhmien tarpeet</w:t>
            </w:r>
            <w:r w:rsidR="00E33CA0">
              <w:t xml:space="preserve"> osa-alueilla</w:t>
            </w:r>
            <w:r>
              <w:t xml:space="preserve"> ja etsitään malleja, joilla ne voidaan laadukkaasti ja kustannustehokkaasti toteuttaa.</w:t>
            </w:r>
          </w:p>
        </w:tc>
      </w:tr>
      <w:tr w:rsidR="001138D1" w:rsidTr="00BA6B12">
        <w:tc>
          <w:tcPr>
            <w:tcW w:w="1951" w:type="dxa"/>
          </w:tcPr>
          <w:p w:rsidR="001138D1" w:rsidRDefault="001138D1" w:rsidP="00BA6B12">
            <w:r>
              <w:t>Peruste</w:t>
            </w:r>
          </w:p>
          <w:p w:rsidR="001138D1" w:rsidRDefault="001138D1" w:rsidP="00BA6B12"/>
        </w:tc>
        <w:tc>
          <w:tcPr>
            <w:tcW w:w="7827" w:type="dxa"/>
          </w:tcPr>
          <w:p w:rsidR="001138D1" w:rsidRDefault="001F0F9F" w:rsidP="00BA6B12">
            <w:r>
              <w:lastRenderedPageBreak/>
              <w:t xml:space="preserve">Palveluihin, toimintaprosesseihin ja niissä käytettäviin tietoihin on useita näkymiä ja </w:t>
            </w:r>
            <w:r>
              <w:lastRenderedPageBreak/>
              <w:t>tarpeita. Arkkitehtuurissa painotetaan asiakkaiden ja asiakasrajapinnassa toimivien tarpeita ja otetaan huomioon suunnittelun, seurannan ja johtamisen tietotarpeet.</w:t>
            </w:r>
          </w:p>
        </w:tc>
      </w:tr>
      <w:tr w:rsidR="001138D1" w:rsidTr="00BA6B12">
        <w:tc>
          <w:tcPr>
            <w:tcW w:w="1951" w:type="dxa"/>
          </w:tcPr>
          <w:p w:rsidR="001138D1" w:rsidRDefault="001138D1" w:rsidP="00BA6B12">
            <w:r>
              <w:lastRenderedPageBreak/>
              <w:t>Vaikutus</w:t>
            </w:r>
          </w:p>
          <w:p w:rsidR="001138D1" w:rsidRDefault="001138D1" w:rsidP="00BA6B12"/>
        </w:tc>
        <w:tc>
          <w:tcPr>
            <w:tcW w:w="7827" w:type="dxa"/>
          </w:tcPr>
          <w:p w:rsidR="001138D1" w:rsidRDefault="00AD42BC" w:rsidP="00BA6B12">
            <w:r>
              <w:t>Arkkitehtuuri on käytännönläheinen ja ottaa huomioon erilaiset palveluihin ja tietoon kohdistuvat tarpeet.</w:t>
            </w:r>
          </w:p>
        </w:tc>
      </w:tr>
    </w:tbl>
    <w:p w:rsidR="001138D1" w:rsidRDefault="001138D1"/>
    <w:p w:rsidR="00702D34" w:rsidRDefault="00702D34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951"/>
        <w:gridCol w:w="7827"/>
      </w:tblGrid>
      <w:tr w:rsidR="00D10811" w:rsidRPr="00E31C87" w:rsidTr="00D10811">
        <w:tc>
          <w:tcPr>
            <w:tcW w:w="1951" w:type="dxa"/>
          </w:tcPr>
          <w:p w:rsidR="00D10811" w:rsidRPr="00E31C87" w:rsidRDefault="00D10811" w:rsidP="00D10811">
            <w:pPr>
              <w:rPr>
                <w:b/>
              </w:rPr>
            </w:pPr>
            <w:r w:rsidRPr="00E31C87">
              <w:rPr>
                <w:b/>
              </w:rPr>
              <w:t xml:space="preserve">Periaate </w:t>
            </w:r>
            <w:r>
              <w:rPr>
                <w:b/>
              </w:rPr>
              <w:t>3</w:t>
            </w:r>
          </w:p>
        </w:tc>
        <w:tc>
          <w:tcPr>
            <w:tcW w:w="7827" w:type="dxa"/>
          </w:tcPr>
          <w:p w:rsidR="00D10811" w:rsidRPr="00E31C87" w:rsidRDefault="00D10811" w:rsidP="00D10811">
            <w:pPr>
              <w:rPr>
                <w:b/>
              </w:rPr>
            </w:pPr>
            <w:r w:rsidRPr="00D10811">
              <w:rPr>
                <w:b/>
              </w:rPr>
              <w:t>Kokonaisarkkitehtuuri liitetään johtamis- ja laatutyöhön siten, että se muodostaa yhtenäisen toimintaa ohjaavan kokonaisuuden</w:t>
            </w:r>
          </w:p>
        </w:tc>
      </w:tr>
      <w:tr w:rsidR="00D10811" w:rsidTr="00D10811">
        <w:tc>
          <w:tcPr>
            <w:tcW w:w="1951" w:type="dxa"/>
          </w:tcPr>
          <w:p w:rsidR="00D10811" w:rsidRDefault="00D10811" w:rsidP="00D10811">
            <w:r>
              <w:t>Selitys</w:t>
            </w:r>
          </w:p>
          <w:p w:rsidR="00D10811" w:rsidRDefault="00D10811" w:rsidP="00D10811"/>
        </w:tc>
        <w:tc>
          <w:tcPr>
            <w:tcW w:w="7827" w:type="dxa"/>
          </w:tcPr>
          <w:p w:rsidR="00D10811" w:rsidRPr="00015094" w:rsidRDefault="00D10811" w:rsidP="00D10811">
            <w:r>
              <w:t>Arkkitehtuurityö</w:t>
            </w:r>
            <w:r w:rsidRPr="00015094">
              <w:t xml:space="preserve"> liitetään tiiviisti muu</w:t>
            </w:r>
            <w:r>
              <w:t>hun</w:t>
            </w:r>
            <w:r w:rsidRPr="00015094">
              <w:t xml:space="preserve"> toiminnan johtamis- ja laatutyöhön. Kokonaisarkkitehtuuri tuo </w:t>
            </w:r>
            <w:r>
              <w:t>viitekehyksen</w:t>
            </w:r>
            <w:r w:rsidRPr="00015094">
              <w:t xml:space="preserve"> myös johtamisen käyttöön. Varmistetaan, että strategiset ja operatiiviset johtamistarpeet otetaan arkkitehtuurityössä ja –linjauksissa huomioon. </w:t>
            </w:r>
          </w:p>
        </w:tc>
      </w:tr>
      <w:tr w:rsidR="00D10811" w:rsidTr="00D10811">
        <w:tc>
          <w:tcPr>
            <w:tcW w:w="1951" w:type="dxa"/>
          </w:tcPr>
          <w:p w:rsidR="00D10811" w:rsidRDefault="00D10811" w:rsidP="00D10811">
            <w:r>
              <w:t>Peruste</w:t>
            </w:r>
          </w:p>
          <w:p w:rsidR="00D10811" w:rsidRDefault="00D10811" w:rsidP="00D10811"/>
        </w:tc>
        <w:tc>
          <w:tcPr>
            <w:tcW w:w="7827" w:type="dxa"/>
          </w:tcPr>
          <w:p w:rsidR="00D10811" w:rsidRDefault="00D10811" w:rsidP="003E7EE6">
            <w:r w:rsidRPr="00015094">
              <w:t xml:space="preserve">Kokonaisarkkitehtuuri ei saa olla irrallinen menetelmä, sillä tällöin ei pystytä kehittämään hallitusti yhteistä toimintaa, hyödyntää yhteisiä tietoja eikä voida varmistaa, että kehitettävät ratkaisut todella tukevat toimintaa. </w:t>
            </w:r>
          </w:p>
        </w:tc>
      </w:tr>
      <w:tr w:rsidR="00D10811" w:rsidTr="00D10811">
        <w:tc>
          <w:tcPr>
            <w:tcW w:w="1951" w:type="dxa"/>
          </w:tcPr>
          <w:p w:rsidR="00D10811" w:rsidRDefault="00D10811" w:rsidP="00D10811">
            <w:r>
              <w:t>Vaikutus</w:t>
            </w:r>
          </w:p>
          <w:p w:rsidR="00D10811" w:rsidRDefault="00D10811" w:rsidP="00D10811"/>
        </w:tc>
        <w:tc>
          <w:tcPr>
            <w:tcW w:w="7827" w:type="dxa"/>
          </w:tcPr>
          <w:p w:rsidR="00D10811" w:rsidRPr="00015094" w:rsidRDefault="003E7EE6" w:rsidP="00D10811">
            <w:r>
              <w:t xml:space="preserve">Kokonaisarkkitehtuuri tukee tiedolla johtamista. </w:t>
            </w:r>
          </w:p>
        </w:tc>
      </w:tr>
    </w:tbl>
    <w:p w:rsidR="00D10811" w:rsidRDefault="00D10811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951"/>
        <w:gridCol w:w="7827"/>
      </w:tblGrid>
      <w:tr w:rsidR="00E33CA0" w:rsidRPr="00E31C87" w:rsidTr="00C0441A">
        <w:tc>
          <w:tcPr>
            <w:tcW w:w="1951" w:type="dxa"/>
          </w:tcPr>
          <w:p w:rsidR="00E33CA0" w:rsidRPr="00E31C87" w:rsidRDefault="00E33CA0" w:rsidP="00D10811">
            <w:pPr>
              <w:rPr>
                <w:b/>
              </w:rPr>
            </w:pPr>
            <w:r w:rsidRPr="00E31C87">
              <w:rPr>
                <w:b/>
              </w:rPr>
              <w:t xml:space="preserve">Periaate </w:t>
            </w:r>
            <w:r w:rsidR="00D10811">
              <w:rPr>
                <w:b/>
              </w:rPr>
              <w:t>4</w:t>
            </w:r>
          </w:p>
        </w:tc>
        <w:tc>
          <w:tcPr>
            <w:tcW w:w="7827" w:type="dxa"/>
          </w:tcPr>
          <w:p w:rsidR="00E33CA0" w:rsidRPr="00E31C87" w:rsidRDefault="00E33CA0" w:rsidP="003E7EE6">
            <w:pPr>
              <w:rPr>
                <w:b/>
              </w:rPr>
            </w:pPr>
            <w:r>
              <w:rPr>
                <w:b/>
              </w:rPr>
              <w:t>Kohdealuetason arkkitehtuuri painottuu tietoarkkitehtuuriin</w:t>
            </w:r>
            <w:r w:rsidR="003E7EE6">
              <w:rPr>
                <w:b/>
              </w:rPr>
              <w:t>;</w:t>
            </w:r>
            <w:r>
              <w:rPr>
                <w:b/>
              </w:rPr>
              <w:t xml:space="preserve"> toiminta- ja järjestelmäarkkitehtuurit voivat olla osa-aluekohtaisia</w:t>
            </w:r>
          </w:p>
        </w:tc>
      </w:tr>
      <w:tr w:rsidR="00E33CA0" w:rsidTr="00C0441A">
        <w:tc>
          <w:tcPr>
            <w:tcW w:w="1951" w:type="dxa"/>
          </w:tcPr>
          <w:p w:rsidR="00E33CA0" w:rsidRDefault="00E33CA0" w:rsidP="00C0441A">
            <w:r>
              <w:t>Selitys</w:t>
            </w:r>
          </w:p>
          <w:p w:rsidR="00E33CA0" w:rsidRDefault="00E33CA0" w:rsidP="00C0441A"/>
        </w:tc>
        <w:tc>
          <w:tcPr>
            <w:tcW w:w="7827" w:type="dxa"/>
          </w:tcPr>
          <w:p w:rsidR="00E33CA0" w:rsidRDefault="00EA7A85" w:rsidP="005F0BF9">
            <w:r>
              <w:t xml:space="preserve">Kohdealueen </w:t>
            </w:r>
            <w:r w:rsidR="00B16F1E">
              <w:t xml:space="preserve">tasolla </w:t>
            </w:r>
            <w:r>
              <w:t>suunnittelun, seurannan ja johtamisen tie</w:t>
            </w:r>
            <w:r w:rsidR="00702D34">
              <w:t>to</w:t>
            </w:r>
            <w:r>
              <w:t>pohja</w:t>
            </w:r>
            <w:r w:rsidR="00B16F1E">
              <w:t xml:space="preserve"> on keskeinen yhteisen kehittämisen alue</w:t>
            </w:r>
            <w:r>
              <w:t xml:space="preserve">. </w:t>
            </w:r>
            <w:r w:rsidR="00B16F1E">
              <w:t xml:space="preserve"> Toiminta- ja järjestelmäarkkitehtuurit laaditaan osa-aluetasolla.</w:t>
            </w:r>
          </w:p>
        </w:tc>
      </w:tr>
      <w:tr w:rsidR="00E33CA0" w:rsidTr="00C0441A">
        <w:tc>
          <w:tcPr>
            <w:tcW w:w="1951" w:type="dxa"/>
          </w:tcPr>
          <w:p w:rsidR="00E33CA0" w:rsidRDefault="00E33CA0" w:rsidP="00C0441A">
            <w:r>
              <w:t>Peruste</w:t>
            </w:r>
          </w:p>
          <w:p w:rsidR="00E33CA0" w:rsidRDefault="00E33CA0" w:rsidP="00C0441A"/>
        </w:tc>
        <w:tc>
          <w:tcPr>
            <w:tcW w:w="7827" w:type="dxa"/>
          </w:tcPr>
          <w:p w:rsidR="00E33CA0" w:rsidRDefault="005F0BF9" w:rsidP="00C0441A">
            <w:r>
              <w:t xml:space="preserve">Kohdealueen osa-alueet ovat toiminnan että toimijakentän </w:t>
            </w:r>
            <w:r w:rsidR="00B16F1E">
              <w:t xml:space="preserve">ja palveluiden </w:t>
            </w:r>
            <w:r>
              <w:t>osalta niin toisistaan poikkeavia, että niiden toiminta- ja järjestelmäarkkitehtuurit</w:t>
            </w:r>
            <w:r w:rsidR="007600AB">
              <w:t xml:space="preserve"> ovat</w:t>
            </w:r>
            <w:r>
              <w:t xml:space="preserve"> erilaisia</w:t>
            </w:r>
            <w:r w:rsidR="00B16F1E">
              <w:t xml:space="preserve">. </w:t>
            </w:r>
          </w:p>
        </w:tc>
      </w:tr>
      <w:tr w:rsidR="00E33CA0" w:rsidTr="00C0441A">
        <w:tc>
          <w:tcPr>
            <w:tcW w:w="1951" w:type="dxa"/>
          </w:tcPr>
          <w:p w:rsidR="00E33CA0" w:rsidRDefault="00E33CA0" w:rsidP="00C0441A">
            <w:r>
              <w:t>Vaikutus</w:t>
            </w:r>
          </w:p>
          <w:p w:rsidR="00E33CA0" w:rsidRDefault="00E33CA0" w:rsidP="00C0441A"/>
        </w:tc>
        <w:tc>
          <w:tcPr>
            <w:tcW w:w="7827" w:type="dxa"/>
          </w:tcPr>
          <w:p w:rsidR="00E33CA0" w:rsidRDefault="00282EA7" w:rsidP="00C0441A">
            <w:r>
              <w:t>Kohdealuetasolla on riittävä tietoarkkitehtuurin ohjaus ja yhteentoimivuus. Osa-alueiden toiminta- ja järjestelmäarkkitehtuurit suunnitellaan niiden toiminnallisista tarpeista lähtien.</w:t>
            </w:r>
          </w:p>
        </w:tc>
      </w:tr>
    </w:tbl>
    <w:p w:rsidR="00E33CA0" w:rsidRDefault="00E33CA0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951"/>
        <w:gridCol w:w="7827"/>
      </w:tblGrid>
      <w:tr w:rsidR="003E7EE6" w:rsidRPr="00E31C87" w:rsidTr="008B0ABE">
        <w:tc>
          <w:tcPr>
            <w:tcW w:w="1951" w:type="dxa"/>
          </w:tcPr>
          <w:p w:rsidR="003E7EE6" w:rsidRPr="00E31C87" w:rsidRDefault="003E7EE6" w:rsidP="003E7EE6">
            <w:pPr>
              <w:rPr>
                <w:b/>
              </w:rPr>
            </w:pPr>
            <w:r w:rsidRPr="00E31C87">
              <w:rPr>
                <w:b/>
              </w:rPr>
              <w:t xml:space="preserve">Periaate </w:t>
            </w:r>
            <w:r>
              <w:rPr>
                <w:b/>
              </w:rPr>
              <w:t>5</w:t>
            </w:r>
          </w:p>
        </w:tc>
        <w:tc>
          <w:tcPr>
            <w:tcW w:w="7827" w:type="dxa"/>
          </w:tcPr>
          <w:p w:rsidR="003E7EE6" w:rsidRPr="00E31C87" w:rsidRDefault="003E7EE6" w:rsidP="008B0ABE">
            <w:pPr>
              <w:rPr>
                <w:b/>
              </w:rPr>
            </w:pPr>
            <w:r>
              <w:rPr>
                <w:b/>
              </w:rPr>
              <w:t>Avoimuus kehittämisessä</w:t>
            </w:r>
          </w:p>
        </w:tc>
      </w:tr>
      <w:tr w:rsidR="003E7EE6" w:rsidTr="008B0ABE">
        <w:tc>
          <w:tcPr>
            <w:tcW w:w="1951" w:type="dxa"/>
          </w:tcPr>
          <w:p w:rsidR="003E7EE6" w:rsidRDefault="003E7EE6" w:rsidP="008B0ABE">
            <w:r>
              <w:t>Selitys</w:t>
            </w:r>
          </w:p>
          <w:p w:rsidR="003E7EE6" w:rsidRDefault="003E7EE6" w:rsidP="008B0ABE"/>
        </w:tc>
        <w:tc>
          <w:tcPr>
            <w:tcW w:w="7827" w:type="dxa"/>
          </w:tcPr>
          <w:p w:rsidR="003E7EE6" w:rsidRDefault="003E7EE6" w:rsidP="008B0ABE">
            <w:r>
              <w:t>Kohdealueella kehittämistyössä lähtökohtana on avoimuus sekä laaja osallistuminen ja sitoutuminen. Kehittäjäyhteisöjen muodostumista ja työtä tuetaan. Avoimuus mahdollistaa kehitettyjen ratkaisujen levittämisen ja estää toimittajariippuvuutta.</w:t>
            </w:r>
          </w:p>
        </w:tc>
      </w:tr>
      <w:tr w:rsidR="003E7EE6" w:rsidTr="008B0ABE">
        <w:tc>
          <w:tcPr>
            <w:tcW w:w="1951" w:type="dxa"/>
          </w:tcPr>
          <w:p w:rsidR="003E7EE6" w:rsidRDefault="003E7EE6" w:rsidP="008B0ABE">
            <w:r>
              <w:t>Peruste</w:t>
            </w:r>
          </w:p>
          <w:p w:rsidR="003E7EE6" w:rsidRDefault="003E7EE6" w:rsidP="008B0ABE"/>
        </w:tc>
        <w:tc>
          <w:tcPr>
            <w:tcW w:w="7827" w:type="dxa"/>
          </w:tcPr>
          <w:p w:rsidR="003E7EE6" w:rsidRDefault="00F74ACE" w:rsidP="008B0ABE">
            <w:r>
              <w:t>Kohdealueella on erittäin kirjava toimijakenttä. Kehittämisessä tarvitaan sen vuoksi normaalista hallintotyöstä poikkeavia menetelmiä.</w:t>
            </w:r>
          </w:p>
        </w:tc>
      </w:tr>
      <w:tr w:rsidR="003E7EE6" w:rsidTr="008B0ABE">
        <w:tc>
          <w:tcPr>
            <w:tcW w:w="1951" w:type="dxa"/>
          </w:tcPr>
          <w:p w:rsidR="003E7EE6" w:rsidRDefault="003E7EE6" w:rsidP="008B0ABE">
            <w:r>
              <w:t>Vaikutus</w:t>
            </w:r>
          </w:p>
          <w:p w:rsidR="003E7EE6" w:rsidRDefault="003E7EE6" w:rsidP="008B0ABE"/>
        </w:tc>
        <w:tc>
          <w:tcPr>
            <w:tcW w:w="7827" w:type="dxa"/>
          </w:tcPr>
          <w:p w:rsidR="003E7EE6" w:rsidRDefault="00A3639E" w:rsidP="008B0ABE">
            <w:r>
              <w:t>Julkishallinnon toimijoiden lisäksi kehittämiseen saadaan mukaan järjestöt ja yksityinen sektori.</w:t>
            </w:r>
          </w:p>
        </w:tc>
      </w:tr>
    </w:tbl>
    <w:p w:rsidR="003E7EE6" w:rsidRDefault="003E7EE6"/>
    <w:p w:rsidR="009458BD" w:rsidRDefault="0019744B" w:rsidP="0019744B">
      <w:pPr>
        <w:pStyle w:val="Otsikko1"/>
        <w:numPr>
          <w:ilvl w:val="0"/>
          <w:numId w:val="1"/>
        </w:numPr>
      </w:pPr>
      <w:r>
        <w:t>T</w:t>
      </w:r>
      <w:r w:rsidRPr="0019744B">
        <w:t>oimintaan vaikuttavat periaatteet</w:t>
      </w:r>
    </w:p>
    <w:p w:rsidR="00B7488D" w:rsidRDefault="00B7488D" w:rsidP="00B7379A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951"/>
        <w:gridCol w:w="7827"/>
      </w:tblGrid>
      <w:tr w:rsidR="00E31C87" w:rsidRPr="00E31C87" w:rsidTr="00BA6B12">
        <w:tc>
          <w:tcPr>
            <w:tcW w:w="1951" w:type="dxa"/>
          </w:tcPr>
          <w:p w:rsidR="00E31C87" w:rsidRPr="00E31C87" w:rsidRDefault="00E31C87" w:rsidP="00525E48">
            <w:pPr>
              <w:rPr>
                <w:b/>
              </w:rPr>
            </w:pPr>
            <w:r w:rsidRPr="00E31C87">
              <w:rPr>
                <w:b/>
              </w:rPr>
              <w:t xml:space="preserve">Periaate </w:t>
            </w:r>
            <w:r w:rsidR="00525E48">
              <w:rPr>
                <w:b/>
              </w:rPr>
              <w:t>6</w:t>
            </w:r>
          </w:p>
        </w:tc>
        <w:tc>
          <w:tcPr>
            <w:tcW w:w="7827" w:type="dxa"/>
          </w:tcPr>
          <w:p w:rsidR="00E31C87" w:rsidRPr="00E31C87" w:rsidRDefault="00956A81" w:rsidP="000750C6">
            <w:pPr>
              <w:rPr>
                <w:b/>
              </w:rPr>
            </w:pPr>
            <w:r>
              <w:rPr>
                <w:b/>
              </w:rPr>
              <w:t>Toiminta-arkkitehtuureja</w:t>
            </w:r>
            <w:r w:rsidR="000750C6">
              <w:rPr>
                <w:b/>
              </w:rPr>
              <w:t xml:space="preserve"> laaditaan ja ylläpidetään kohdealueen toimijoiden yhteistyönä. Viestinnällä, ohjeistuksella ja koulutuksella vaikutetaan periaatteiden omaksumiseen ja noudattamiseen.</w:t>
            </w:r>
          </w:p>
        </w:tc>
      </w:tr>
      <w:tr w:rsidR="00E31C87" w:rsidTr="00BA6B12">
        <w:tc>
          <w:tcPr>
            <w:tcW w:w="1951" w:type="dxa"/>
          </w:tcPr>
          <w:p w:rsidR="00E31C87" w:rsidRDefault="00E31C87" w:rsidP="00BA6B12">
            <w:r>
              <w:t>Selitys</w:t>
            </w:r>
          </w:p>
          <w:p w:rsidR="00E31C87" w:rsidRDefault="00E31C87" w:rsidP="00BA6B12"/>
        </w:tc>
        <w:tc>
          <w:tcPr>
            <w:tcW w:w="7827" w:type="dxa"/>
          </w:tcPr>
          <w:p w:rsidR="000750C6" w:rsidRDefault="004D3147" w:rsidP="000750C6">
            <w:r w:rsidRPr="00103C1C">
              <w:lastRenderedPageBreak/>
              <w:t>Arkkitehtuuri koskee</w:t>
            </w:r>
            <w:r w:rsidR="003D1C42">
              <w:t xml:space="preserve"> kaikkia </w:t>
            </w:r>
            <w:r w:rsidR="00E05A2E" w:rsidRPr="00E05A2E">
              <w:t>Koulutus, tiede, kulttuuri</w:t>
            </w:r>
            <w:r w:rsidR="00E05A2E">
              <w:t xml:space="preserve"> -kohdealueen</w:t>
            </w:r>
            <w:r w:rsidR="003D1C42">
              <w:t xml:space="preserve"> organisaatioita </w:t>
            </w:r>
            <w:r w:rsidR="003D1C42">
              <w:lastRenderedPageBreak/>
              <w:t>sekä</w:t>
            </w:r>
            <w:r w:rsidR="00E05A2E">
              <w:t xml:space="preserve"> </w:t>
            </w:r>
            <w:r w:rsidR="003D1C42">
              <w:t xml:space="preserve">yhteistyökumppaneita. </w:t>
            </w:r>
            <w:r w:rsidR="00E05A2E">
              <w:t xml:space="preserve">Kohdealueen toimijoista merkittävä osa ei ole julkisen hallinnon tietohallinnon ohjausta koskevan lainsäädännön piirissä. </w:t>
            </w:r>
            <w:r w:rsidR="00765E7F">
              <w:t xml:space="preserve"> Näitä ovat yliopistojen ohella erilaiset järjestöt ja muut yhteisöt. </w:t>
            </w:r>
            <w:r w:rsidRPr="00103C1C">
              <w:t>Kohdealueen ja sen osa-alueiden arkkitehtuureista vastaavat v</w:t>
            </w:r>
            <w:r>
              <w:t>aikuttavat a</w:t>
            </w:r>
            <w:r w:rsidR="00E05A2E">
              <w:t>rkkitehtuurin toteuttamiseen organisaatiossa yhteistyöllä ja viestinnällä.</w:t>
            </w:r>
          </w:p>
          <w:p w:rsidR="00E31C87" w:rsidRDefault="00E31C87" w:rsidP="003D1C42"/>
        </w:tc>
      </w:tr>
      <w:tr w:rsidR="00E31C87" w:rsidTr="00BA6B12">
        <w:tc>
          <w:tcPr>
            <w:tcW w:w="1951" w:type="dxa"/>
          </w:tcPr>
          <w:p w:rsidR="00E31C87" w:rsidRDefault="00E31C87" w:rsidP="00BA6B12">
            <w:r>
              <w:lastRenderedPageBreak/>
              <w:t>Peruste</w:t>
            </w:r>
          </w:p>
          <w:p w:rsidR="00E31C87" w:rsidRDefault="00E31C87" w:rsidP="00BA6B12"/>
        </w:tc>
        <w:tc>
          <w:tcPr>
            <w:tcW w:w="7827" w:type="dxa"/>
          </w:tcPr>
          <w:p w:rsidR="00E31C87" w:rsidRDefault="007B098A" w:rsidP="00BA6B12">
            <w:r>
              <w:t>Vaikuttavuuden kannalta on tärkeää, että arkkitehtuuria toteutetaan mahdollisimman laajasti kohdealueella.</w:t>
            </w:r>
          </w:p>
        </w:tc>
      </w:tr>
      <w:tr w:rsidR="00E31C87" w:rsidTr="00BA6B12">
        <w:tc>
          <w:tcPr>
            <w:tcW w:w="1951" w:type="dxa"/>
          </w:tcPr>
          <w:p w:rsidR="00E31C87" w:rsidRDefault="00E31C87" w:rsidP="00BA6B12">
            <w:r>
              <w:t>Vaikutus</w:t>
            </w:r>
          </w:p>
          <w:p w:rsidR="00E31C87" w:rsidRDefault="00E31C87" w:rsidP="00BA6B12"/>
        </w:tc>
        <w:tc>
          <w:tcPr>
            <w:tcW w:w="7827" w:type="dxa"/>
          </w:tcPr>
          <w:p w:rsidR="00E31C87" w:rsidRDefault="002439BB" w:rsidP="00BA6B12">
            <w:r>
              <w:t>Kohdealuetasolla saadaan riittävän laadukas ja ajantasainen tietopohja suunnittelun, ohjauksen ja johtamisen tarpeisiin vaikka osa toimijoista on tietohallinnon suoran ohjauksen ulkopuolella.</w:t>
            </w:r>
          </w:p>
        </w:tc>
      </w:tr>
    </w:tbl>
    <w:p w:rsidR="009B1B4C" w:rsidRDefault="009B1B4C" w:rsidP="00B7379A"/>
    <w:p w:rsidR="00B7379A" w:rsidRDefault="00C06CE3" w:rsidP="00C06CE3">
      <w:pPr>
        <w:pStyle w:val="Otsikko1"/>
        <w:numPr>
          <w:ilvl w:val="0"/>
          <w:numId w:val="1"/>
        </w:numPr>
      </w:pPr>
      <w:r>
        <w:t>T</w:t>
      </w:r>
      <w:r w:rsidRPr="00C06CE3">
        <w:t>ietoon kohdistuvat periaatteet</w:t>
      </w:r>
    </w:p>
    <w:p w:rsidR="001138D1" w:rsidRPr="001138D1" w:rsidRDefault="001138D1" w:rsidP="001138D1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951"/>
        <w:gridCol w:w="7827"/>
      </w:tblGrid>
      <w:tr w:rsidR="00E31C87" w:rsidRPr="00E31C87" w:rsidTr="00BA6B12">
        <w:tc>
          <w:tcPr>
            <w:tcW w:w="1951" w:type="dxa"/>
          </w:tcPr>
          <w:p w:rsidR="00E31C87" w:rsidRPr="00E31C87" w:rsidRDefault="00E31C87" w:rsidP="00525E48">
            <w:pPr>
              <w:rPr>
                <w:b/>
              </w:rPr>
            </w:pPr>
            <w:r w:rsidRPr="00E31C87">
              <w:rPr>
                <w:b/>
              </w:rPr>
              <w:t xml:space="preserve">Periaate </w:t>
            </w:r>
            <w:r w:rsidR="00525E48">
              <w:rPr>
                <w:b/>
              </w:rPr>
              <w:t>7</w:t>
            </w:r>
          </w:p>
        </w:tc>
        <w:tc>
          <w:tcPr>
            <w:tcW w:w="7827" w:type="dxa"/>
          </w:tcPr>
          <w:p w:rsidR="00E31C87" w:rsidRPr="00E31C87" w:rsidRDefault="00863AEA" w:rsidP="00BA6B12">
            <w:pPr>
              <w:rPr>
                <w:b/>
              </w:rPr>
            </w:pPr>
            <w:r w:rsidRPr="00863AEA">
              <w:rPr>
                <w:b/>
              </w:rPr>
              <w:t>T</w:t>
            </w:r>
            <w:r w:rsidR="001138D1">
              <w:rPr>
                <w:b/>
              </w:rPr>
              <w:t>ietosisältöjen käyttöä ja hyödynnettävyyttä edistetään</w:t>
            </w:r>
          </w:p>
        </w:tc>
      </w:tr>
      <w:tr w:rsidR="00E31C87" w:rsidTr="00BA6B12">
        <w:tc>
          <w:tcPr>
            <w:tcW w:w="1951" w:type="dxa"/>
          </w:tcPr>
          <w:p w:rsidR="00E31C87" w:rsidRDefault="00E31C87" w:rsidP="00BA6B12">
            <w:r>
              <w:t>Selitys</w:t>
            </w:r>
          </w:p>
          <w:p w:rsidR="00E31C87" w:rsidRDefault="00E31C87" w:rsidP="00BA6B12"/>
        </w:tc>
        <w:tc>
          <w:tcPr>
            <w:tcW w:w="7827" w:type="dxa"/>
          </w:tcPr>
          <w:p w:rsidR="00E31C87" w:rsidRDefault="001138D1" w:rsidP="00863AEA">
            <w:r>
              <w:t>Kohdealueen</w:t>
            </w:r>
            <w:r w:rsidR="00863AEA">
              <w:t xml:space="preserve"> organisaatioiden tuottaman tiedon on oltava muiden käytettävissä</w:t>
            </w:r>
            <w:r w:rsidR="00A87FD8">
              <w:t xml:space="preserve"> ja hyödynnettävissä omassa toiminnassaan ja palveluissa</w:t>
            </w:r>
            <w:r w:rsidR="002F1FA7">
              <w:t>an</w:t>
            </w:r>
            <w:r w:rsidR="00863AEA">
              <w:t>.</w:t>
            </w:r>
            <w:r w:rsidR="0024780B">
              <w:t xml:space="preserve"> </w:t>
            </w:r>
            <w:r w:rsidR="00863AEA">
              <w:t>Päällekkäistä tiedon keruuta ja tuotantoa on vältettävä.</w:t>
            </w:r>
            <w:r>
              <w:t xml:space="preserve"> </w:t>
            </w:r>
            <w:r w:rsidR="0024780B">
              <w:t>Tietojen s</w:t>
            </w:r>
            <w:r>
              <w:t>emanttinen yhteensopivuus</w:t>
            </w:r>
            <w:r w:rsidR="0024780B">
              <w:t xml:space="preserve"> varmistetaan tietoarkkitehtuurilla ja saatavuuteen liittyvä hallinnointi on kevyttä.</w:t>
            </w:r>
          </w:p>
          <w:p w:rsidR="002F1FA7" w:rsidRDefault="002F1FA7" w:rsidP="00863AEA"/>
          <w:p w:rsidR="002F1FA7" w:rsidRDefault="002F1FA7" w:rsidP="000953E7">
            <w:r>
              <w:t>Kehitetään menettelyjä käyttörajoitettujen tietojen viranomaiskäytön laajentamiseen.</w:t>
            </w:r>
            <w:r w:rsidR="000953E7">
              <w:t xml:space="preserve"> Tietovarantojen vastuutahojen</w:t>
            </w:r>
            <w:r w:rsidR="000953E7" w:rsidRPr="000953E7">
              <w:t xml:space="preserve"> tulee tarjota tiedon hyödyntäjälle valmiit lisensiointi- ja lupakäytännöt tiedon käytölle.</w:t>
            </w:r>
            <w:r w:rsidR="0024780B">
              <w:t xml:space="preserve"> </w:t>
            </w:r>
          </w:p>
          <w:p w:rsidR="0024780B" w:rsidRDefault="0024780B" w:rsidP="000953E7"/>
          <w:p w:rsidR="0024780B" w:rsidRDefault="0024780B" w:rsidP="000953E7">
            <w:r>
              <w:t>Julkisen tiedon hyödyntämistä edistetään avoimen maksuttoman datan politiikalla.</w:t>
            </w:r>
          </w:p>
        </w:tc>
      </w:tr>
      <w:tr w:rsidR="00E31C87" w:rsidTr="00BA6B12">
        <w:tc>
          <w:tcPr>
            <w:tcW w:w="1951" w:type="dxa"/>
          </w:tcPr>
          <w:p w:rsidR="00E31C87" w:rsidRDefault="00E31C87" w:rsidP="00BA6B12">
            <w:r>
              <w:t>Peruste</w:t>
            </w:r>
          </w:p>
          <w:p w:rsidR="00E31C87" w:rsidRDefault="00E31C87" w:rsidP="00BA6B12"/>
        </w:tc>
        <w:tc>
          <w:tcPr>
            <w:tcW w:w="7827" w:type="dxa"/>
          </w:tcPr>
          <w:p w:rsidR="00E31C87" w:rsidRDefault="00657E44" w:rsidP="00BA6B12">
            <w:r>
              <w:t xml:space="preserve">Periaatteena on tiedon keruu ja tallentaminen alkuperäislähteessä, josta tieto saadaan </w:t>
            </w:r>
            <w:r w:rsidR="00070ABB">
              <w:t>kansalaisten, yritysten ja yhteisöjen, viranomaisten, tutkimuksen ja koulutuksen käyttöön tietojen saatavuutta koskevien säännösten puitteissa.</w:t>
            </w:r>
            <w:r>
              <w:t xml:space="preserve"> </w:t>
            </w:r>
          </w:p>
          <w:p w:rsidR="00657E44" w:rsidRDefault="00657E44" w:rsidP="00BA6B12">
            <w:r>
              <w:t>Julkista tietoa annetaan hyödynnettäväksi uusien palvelujen ja sisältöjen tuottamiseen.</w:t>
            </w:r>
          </w:p>
        </w:tc>
      </w:tr>
      <w:tr w:rsidR="00E31C87" w:rsidTr="00BA6B12">
        <w:tc>
          <w:tcPr>
            <w:tcW w:w="1951" w:type="dxa"/>
          </w:tcPr>
          <w:p w:rsidR="00E31C87" w:rsidRDefault="00E31C87" w:rsidP="00BA6B12">
            <w:r>
              <w:t>Vaikutus</w:t>
            </w:r>
          </w:p>
          <w:p w:rsidR="00E31C87" w:rsidRDefault="00E31C87" w:rsidP="00BA6B12"/>
        </w:tc>
        <w:tc>
          <w:tcPr>
            <w:tcW w:w="7827" w:type="dxa"/>
          </w:tcPr>
          <w:p w:rsidR="00E31C87" w:rsidRDefault="00C3571E" w:rsidP="00C3571E">
            <w:r>
              <w:t xml:space="preserve">Kerätyn tiedon hyödyntäminen eri prosesseissa vähentää asiakkaiden ja muiden toimijoiden kustannuksia ja parantaa käytettävän tiedon ajantasaisuutta ja laatua. </w:t>
            </w:r>
          </w:p>
          <w:p w:rsidR="009216D6" w:rsidRDefault="009216D6" w:rsidP="00C3571E">
            <w:r>
              <w:t>Avoin julkinen data antaa mahdollisuuksia kaupallisten ja muiden palvelujen kehittämiselle kohdealueen ulkopuolella.</w:t>
            </w:r>
            <w:r w:rsidR="00D448FD">
              <w:t xml:space="preserve"> </w:t>
            </w:r>
          </w:p>
        </w:tc>
      </w:tr>
    </w:tbl>
    <w:p w:rsidR="00B7379A" w:rsidRDefault="00B7379A" w:rsidP="00B7379A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951"/>
        <w:gridCol w:w="7827"/>
      </w:tblGrid>
      <w:tr w:rsidR="00E31C87" w:rsidRPr="00E31C87" w:rsidTr="00BA6B12">
        <w:tc>
          <w:tcPr>
            <w:tcW w:w="1951" w:type="dxa"/>
          </w:tcPr>
          <w:p w:rsidR="00E31C87" w:rsidRPr="00E31C87" w:rsidRDefault="00E31C87" w:rsidP="00525E48">
            <w:pPr>
              <w:rPr>
                <w:b/>
              </w:rPr>
            </w:pPr>
            <w:r w:rsidRPr="00E31C87">
              <w:rPr>
                <w:b/>
              </w:rPr>
              <w:t xml:space="preserve">Periaate </w:t>
            </w:r>
            <w:r w:rsidR="00525E48">
              <w:rPr>
                <w:b/>
              </w:rPr>
              <w:t>8</w:t>
            </w:r>
          </w:p>
        </w:tc>
        <w:tc>
          <w:tcPr>
            <w:tcW w:w="7827" w:type="dxa"/>
          </w:tcPr>
          <w:p w:rsidR="00E31C87" w:rsidRPr="00E31C87" w:rsidRDefault="00024510" w:rsidP="000953E7">
            <w:pPr>
              <w:rPr>
                <w:b/>
              </w:rPr>
            </w:pPr>
            <w:r>
              <w:rPr>
                <w:b/>
              </w:rPr>
              <w:t>Toiminnan johtaminen ja seuranta tietopohjaiseksi</w:t>
            </w:r>
          </w:p>
        </w:tc>
      </w:tr>
      <w:tr w:rsidR="00E31C87" w:rsidTr="00BA6B12">
        <w:tc>
          <w:tcPr>
            <w:tcW w:w="1951" w:type="dxa"/>
          </w:tcPr>
          <w:p w:rsidR="00E31C87" w:rsidRDefault="00E31C87" w:rsidP="00BA6B12">
            <w:r>
              <w:t>Selitys</w:t>
            </w:r>
          </w:p>
          <w:p w:rsidR="00E31C87" w:rsidRDefault="00E31C87" w:rsidP="00BA6B12"/>
        </w:tc>
        <w:tc>
          <w:tcPr>
            <w:tcW w:w="7827" w:type="dxa"/>
          </w:tcPr>
          <w:p w:rsidR="00E31C87" w:rsidRDefault="007E4024" w:rsidP="004F7BB5">
            <w:r w:rsidRPr="00103C1C">
              <w:t>K</w:t>
            </w:r>
            <w:r w:rsidR="00DC439B" w:rsidRPr="00103C1C">
              <w:t>ohdealueen tilaa j</w:t>
            </w:r>
            <w:r w:rsidR="0075029B" w:rsidRPr="00103C1C">
              <w:t>a kehitystä koskeva tietopohja on tärkeä näkökulma tietoarkkitehtuurien suunnit</w:t>
            </w:r>
            <w:r w:rsidR="004F7BB5" w:rsidRPr="00103C1C">
              <w:t>t</w:t>
            </w:r>
            <w:r w:rsidR="0075029B" w:rsidRPr="00103C1C">
              <w:t>el</w:t>
            </w:r>
            <w:r w:rsidR="004F7BB5" w:rsidRPr="00103C1C">
              <w:t>u</w:t>
            </w:r>
            <w:r w:rsidR="0075029B" w:rsidRPr="00103C1C">
              <w:t>ssa</w:t>
            </w:r>
            <w:r w:rsidR="00EE0934" w:rsidRPr="00103C1C">
              <w:t>. S</w:t>
            </w:r>
            <w:r w:rsidR="00DC439B" w:rsidRPr="00103C1C">
              <w:t xml:space="preserve">uunnittelun, johtamisen, ohjauksen ja seurannan </w:t>
            </w:r>
            <w:r w:rsidR="00EE0934" w:rsidRPr="00103C1C">
              <w:t>tarpeisiin</w:t>
            </w:r>
            <w:r w:rsidR="0075029B" w:rsidRPr="00103C1C">
              <w:t xml:space="preserve"> hankitaan</w:t>
            </w:r>
            <w:r w:rsidR="00EE0934" w:rsidRPr="00103C1C">
              <w:t xml:space="preserve"> an</w:t>
            </w:r>
            <w:r w:rsidR="0075029B" w:rsidRPr="00103C1C">
              <w:t>alysoinnin ja ennakoinnin</w:t>
            </w:r>
            <w:r w:rsidR="00DC439B" w:rsidRPr="00103C1C">
              <w:t xml:space="preserve"> </w:t>
            </w:r>
            <w:r w:rsidR="0075029B" w:rsidRPr="00103C1C">
              <w:t>välineitä, joilla toiminnasta kertyvää tietoaineistoa käsitellään. Esimerkki toimintatavasta on korkeakoulujen tietovarastohanke.</w:t>
            </w:r>
          </w:p>
        </w:tc>
      </w:tr>
      <w:tr w:rsidR="00E31C87" w:rsidTr="00BA6B12">
        <w:tc>
          <w:tcPr>
            <w:tcW w:w="1951" w:type="dxa"/>
          </w:tcPr>
          <w:p w:rsidR="00E31C87" w:rsidRDefault="00E31C87" w:rsidP="00BA6B12">
            <w:r>
              <w:t>Peruste</w:t>
            </w:r>
          </w:p>
          <w:p w:rsidR="00E31C87" w:rsidRDefault="00E31C87" w:rsidP="00BA6B12"/>
        </w:tc>
        <w:tc>
          <w:tcPr>
            <w:tcW w:w="7827" w:type="dxa"/>
          </w:tcPr>
          <w:p w:rsidR="00E31C87" w:rsidRDefault="00DC439B" w:rsidP="00765E7F">
            <w:r>
              <w:t xml:space="preserve">Kattavaa ja ajantasaista tietoa tarvitaan kaikilla suunnittelun ja johtamisen tasoilla. </w:t>
            </w:r>
            <w:r w:rsidR="00765E7F">
              <w:t xml:space="preserve">Esimerkiksi hallitusohjelman toteutumisen seurantaan tarvitaan paljon indikaattoreita. </w:t>
            </w:r>
          </w:p>
        </w:tc>
      </w:tr>
      <w:tr w:rsidR="00E31C87" w:rsidTr="00BA6B12">
        <w:tc>
          <w:tcPr>
            <w:tcW w:w="1951" w:type="dxa"/>
          </w:tcPr>
          <w:p w:rsidR="00E31C87" w:rsidRDefault="00E31C87" w:rsidP="00BA6B12">
            <w:r>
              <w:t>Vaikutus</w:t>
            </w:r>
          </w:p>
          <w:p w:rsidR="00E31C87" w:rsidRDefault="00E31C87" w:rsidP="00BA6B12"/>
        </w:tc>
        <w:tc>
          <w:tcPr>
            <w:tcW w:w="7827" w:type="dxa"/>
          </w:tcPr>
          <w:p w:rsidR="00E31C87" w:rsidRDefault="00765E7F" w:rsidP="00BA6B12">
            <w:r>
              <w:t>Yhteinen tietopohja mahdollistaa keskustelun ja päätöksenteon asiapohjalta.</w:t>
            </w:r>
          </w:p>
        </w:tc>
      </w:tr>
    </w:tbl>
    <w:p w:rsidR="00B7379A" w:rsidRDefault="00B7379A" w:rsidP="00B7379A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951"/>
        <w:gridCol w:w="7827"/>
      </w:tblGrid>
      <w:tr w:rsidR="00344C4A" w:rsidRPr="00E31C87" w:rsidTr="00BA6B12">
        <w:tc>
          <w:tcPr>
            <w:tcW w:w="1951" w:type="dxa"/>
          </w:tcPr>
          <w:p w:rsidR="00344C4A" w:rsidRPr="00E31C87" w:rsidRDefault="00344C4A" w:rsidP="00525E48">
            <w:pPr>
              <w:rPr>
                <w:b/>
              </w:rPr>
            </w:pPr>
            <w:r w:rsidRPr="00E31C87">
              <w:rPr>
                <w:b/>
              </w:rPr>
              <w:lastRenderedPageBreak/>
              <w:t xml:space="preserve">Periaate </w:t>
            </w:r>
            <w:r w:rsidR="00525E48">
              <w:rPr>
                <w:b/>
              </w:rPr>
              <w:t>9</w:t>
            </w:r>
          </w:p>
        </w:tc>
        <w:tc>
          <w:tcPr>
            <w:tcW w:w="7827" w:type="dxa"/>
          </w:tcPr>
          <w:p w:rsidR="00344C4A" w:rsidRPr="00E31C87" w:rsidRDefault="00C0441A" w:rsidP="00C0441A">
            <w:pPr>
              <w:rPr>
                <w:b/>
              </w:rPr>
            </w:pPr>
            <w:r>
              <w:rPr>
                <w:b/>
              </w:rPr>
              <w:t>Tiedot määritellään ja a</w:t>
            </w:r>
            <w:r w:rsidR="00344C4A" w:rsidRPr="00344C4A">
              <w:rPr>
                <w:b/>
              </w:rPr>
              <w:t>ineistot kuvail</w:t>
            </w:r>
            <w:r w:rsidR="00344C4A">
              <w:rPr>
                <w:b/>
              </w:rPr>
              <w:t>laan yhteisten sääntöjen mukaan</w:t>
            </w:r>
            <w:r>
              <w:rPr>
                <w:b/>
              </w:rPr>
              <w:t xml:space="preserve"> </w:t>
            </w:r>
          </w:p>
        </w:tc>
      </w:tr>
      <w:tr w:rsidR="00344C4A" w:rsidTr="00BA6B12">
        <w:tc>
          <w:tcPr>
            <w:tcW w:w="1951" w:type="dxa"/>
          </w:tcPr>
          <w:p w:rsidR="00344C4A" w:rsidRDefault="00344C4A" w:rsidP="00BA6B12">
            <w:r>
              <w:t>Selitys</w:t>
            </w:r>
          </w:p>
          <w:p w:rsidR="00344C4A" w:rsidRDefault="00344C4A" w:rsidP="00BA6B12"/>
        </w:tc>
        <w:tc>
          <w:tcPr>
            <w:tcW w:w="7827" w:type="dxa"/>
          </w:tcPr>
          <w:p w:rsidR="00344C4A" w:rsidRDefault="00DD3EC6" w:rsidP="00024510">
            <w:r w:rsidRPr="00103C1C">
              <w:t>Kohdealueen ja sen osa-alueiden t</w:t>
            </w:r>
            <w:r w:rsidR="00344C4A" w:rsidRPr="00103C1C">
              <w:t>ietoarkkitehtuur</w:t>
            </w:r>
            <w:r w:rsidRPr="00103C1C">
              <w:t>e</w:t>
            </w:r>
            <w:r w:rsidR="00344C4A" w:rsidRPr="00103C1C">
              <w:t xml:space="preserve">issa laaditaan aineistoille yhteiset kuvailusäännöt, joita </w:t>
            </w:r>
            <w:r w:rsidR="00446028" w:rsidRPr="00103C1C">
              <w:t>kohdealueen toimijat käyttävät</w:t>
            </w:r>
            <w:r w:rsidR="00344C4A" w:rsidRPr="00103C1C">
              <w:t xml:space="preserve"> järjestelmien</w:t>
            </w:r>
            <w:r w:rsidR="00344C4A" w:rsidRPr="00344C4A">
              <w:t xml:space="preserve"> välisessä tiedonsiirrossa. </w:t>
            </w:r>
            <w:r w:rsidR="00024510">
              <w:t xml:space="preserve">Kuvailussa </w:t>
            </w:r>
            <w:r w:rsidR="00446028">
              <w:t>noudatetaan</w:t>
            </w:r>
            <w:r w:rsidR="004C128A">
              <w:t xml:space="preserve"> esimerkiksi</w:t>
            </w:r>
            <w:r w:rsidR="00956A81">
              <w:t xml:space="preserve"> kansainvälisiä ja EU standardeja ja säädöksiä,</w:t>
            </w:r>
            <w:r w:rsidR="00024510">
              <w:t xml:space="preserve"> KDK:n Standardisalkun ja julkisen hallinnon tason määrityksiä (esim. </w:t>
            </w:r>
            <w:r w:rsidR="00024510" w:rsidRPr="001D73E7">
              <w:t>JHS 181</w:t>
            </w:r>
            <w:r w:rsidR="00024510">
              <w:t xml:space="preserve">). </w:t>
            </w:r>
          </w:p>
          <w:p w:rsidR="00025CAA" w:rsidRDefault="00025CAA" w:rsidP="00024510">
            <w:r>
              <w:t>Tietojen kuvailu sisältää myös tietojen luokittelun niin, että julkinen tieto on irrotettavissa aineistosta, jossa on käyttörajoitettua tietoa.</w:t>
            </w:r>
          </w:p>
          <w:p w:rsidR="00C0441A" w:rsidRDefault="00C0441A" w:rsidP="00024510"/>
        </w:tc>
      </w:tr>
      <w:tr w:rsidR="00344C4A" w:rsidTr="00BA6B12">
        <w:tc>
          <w:tcPr>
            <w:tcW w:w="1951" w:type="dxa"/>
          </w:tcPr>
          <w:p w:rsidR="00344C4A" w:rsidRDefault="00344C4A" w:rsidP="00BA6B12">
            <w:r>
              <w:t>Peruste</w:t>
            </w:r>
          </w:p>
          <w:p w:rsidR="00344C4A" w:rsidRDefault="00344C4A" w:rsidP="00BA6B12"/>
        </w:tc>
        <w:tc>
          <w:tcPr>
            <w:tcW w:w="7827" w:type="dxa"/>
          </w:tcPr>
          <w:p w:rsidR="00344C4A" w:rsidRDefault="0090419D" w:rsidP="00C0441A">
            <w:r w:rsidRPr="00344C4A">
              <w:t xml:space="preserve">Aineistojen kuvailu </w:t>
            </w:r>
            <w:r>
              <w:t>ja k</w:t>
            </w:r>
            <w:r w:rsidRPr="00344C4A">
              <w:t>uvailujen yhteensopivuus on tärkeä lähtökohta käyttäjäystävällisten palveluiden rakentamiselle</w:t>
            </w:r>
            <w:r w:rsidR="00C0441A">
              <w:t xml:space="preserve"> ja se mahdollistaa</w:t>
            </w:r>
            <w:r w:rsidR="00C0441A" w:rsidRPr="00344C4A">
              <w:t xml:space="preserve"> laadukkaan pitkäaikaissäilyttämisen</w:t>
            </w:r>
            <w:r w:rsidR="00C0441A">
              <w:t xml:space="preserve">. </w:t>
            </w:r>
          </w:p>
        </w:tc>
      </w:tr>
      <w:tr w:rsidR="00344C4A" w:rsidTr="00BA6B12">
        <w:tc>
          <w:tcPr>
            <w:tcW w:w="1951" w:type="dxa"/>
          </w:tcPr>
          <w:p w:rsidR="00344C4A" w:rsidRDefault="00344C4A" w:rsidP="00BA6B12">
            <w:r>
              <w:t>Vaikutus</w:t>
            </w:r>
          </w:p>
          <w:p w:rsidR="00344C4A" w:rsidRDefault="00344C4A" w:rsidP="00BA6B12"/>
        </w:tc>
        <w:tc>
          <w:tcPr>
            <w:tcW w:w="7827" w:type="dxa"/>
          </w:tcPr>
          <w:p w:rsidR="00344C4A" w:rsidRDefault="00AA5136" w:rsidP="00BA6B12">
            <w:r>
              <w:t xml:space="preserve">Yhdenmukainen kuvailu mahdollistaa tiedon monipuolisen käytön </w:t>
            </w:r>
            <w:r w:rsidR="00EE4BF1">
              <w:t>ja vähentää tulkinnanvaraisuutta. Palvelujen kehittäminen ja eri tietolähteistä saatavien tietojen yhdistäminen niissä tulee helpommaksi ja varmemmaksi.</w:t>
            </w:r>
          </w:p>
        </w:tc>
      </w:tr>
    </w:tbl>
    <w:p w:rsidR="00B7379A" w:rsidRDefault="00B7379A" w:rsidP="00B7379A"/>
    <w:p w:rsidR="00B7379A" w:rsidRDefault="000940DA" w:rsidP="000940DA">
      <w:pPr>
        <w:pStyle w:val="Otsikko1"/>
        <w:numPr>
          <w:ilvl w:val="0"/>
          <w:numId w:val="1"/>
        </w:numPr>
      </w:pPr>
      <w:r>
        <w:t>T</w:t>
      </w:r>
      <w:r w:rsidRPr="000940DA">
        <w:t>ietojärjestelmiin kohdistuvat periaatteet</w:t>
      </w:r>
    </w:p>
    <w:p w:rsidR="00BA6B12" w:rsidRPr="00BA6B12" w:rsidRDefault="00BA6B12" w:rsidP="00BA6B12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951"/>
        <w:gridCol w:w="7827"/>
      </w:tblGrid>
      <w:tr w:rsidR="00E31C87" w:rsidRPr="00E31C87" w:rsidTr="00BA6B12">
        <w:tc>
          <w:tcPr>
            <w:tcW w:w="1951" w:type="dxa"/>
          </w:tcPr>
          <w:p w:rsidR="00E31C87" w:rsidRPr="00E31C87" w:rsidRDefault="00E31C87" w:rsidP="00525E48">
            <w:pPr>
              <w:rPr>
                <w:b/>
              </w:rPr>
            </w:pPr>
            <w:r w:rsidRPr="00E31C87">
              <w:rPr>
                <w:b/>
              </w:rPr>
              <w:t xml:space="preserve">Periaate </w:t>
            </w:r>
            <w:r w:rsidR="00525E48">
              <w:rPr>
                <w:b/>
              </w:rPr>
              <w:t>10</w:t>
            </w:r>
          </w:p>
        </w:tc>
        <w:tc>
          <w:tcPr>
            <w:tcW w:w="7827" w:type="dxa"/>
          </w:tcPr>
          <w:p w:rsidR="00E31C87" w:rsidRPr="00E31C87" w:rsidRDefault="00652D45" w:rsidP="00CD1A9E">
            <w:pPr>
              <w:rPr>
                <w:b/>
              </w:rPr>
            </w:pPr>
            <w:r>
              <w:rPr>
                <w:b/>
              </w:rPr>
              <w:t>Kohdealueen valtakunnallista kattavuutta edellyttäviin tarpeisiin</w:t>
            </w:r>
            <w:r w:rsidR="00CD1A9E">
              <w:rPr>
                <w:b/>
              </w:rPr>
              <w:t xml:space="preserve"> laaditaan määrityksiä, </w:t>
            </w:r>
            <w:r w:rsidRPr="00103C1C">
              <w:rPr>
                <w:b/>
              </w:rPr>
              <w:t xml:space="preserve">rakennetaan </w:t>
            </w:r>
            <w:r w:rsidR="00DD3EC6" w:rsidRPr="00103C1C">
              <w:rPr>
                <w:b/>
              </w:rPr>
              <w:t>osa-alueiden arkkitehtuurista vastaavien johdolla</w:t>
            </w:r>
            <w:r w:rsidR="004543DA">
              <w:rPr>
                <w:b/>
              </w:rPr>
              <w:t xml:space="preserve"> </w:t>
            </w:r>
            <w:r>
              <w:rPr>
                <w:b/>
              </w:rPr>
              <w:t>yhteisiä tietojärjestelmiä ja toiminnan perusyksikköjen hyödynnettäväksi tarjotaan valmiita komponentteja ja palveluja.</w:t>
            </w:r>
          </w:p>
        </w:tc>
      </w:tr>
      <w:tr w:rsidR="00E31C87" w:rsidTr="00BA6B12">
        <w:tc>
          <w:tcPr>
            <w:tcW w:w="1951" w:type="dxa"/>
          </w:tcPr>
          <w:p w:rsidR="00E31C87" w:rsidRDefault="00E31C87" w:rsidP="00BA6B12">
            <w:r>
              <w:t>Selitys</w:t>
            </w:r>
          </w:p>
          <w:p w:rsidR="00E31C87" w:rsidRDefault="00E31C87" w:rsidP="00BA6B12"/>
        </w:tc>
        <w:tc>
          <w:tcPr>
            <w:tcW w:w="7827" w:type="dxa"/>
          </w:tcPr>
          <w:p w:rsidR="00E31C87" w:rsidRDefault="00705E41" w:rsidP="00640546">
            <w:r>
              <w:t xml:space="preserve">Yhteisiä tietojärjestelmiä tarvitaan kohteisiin, joissa kansalaisille tarjottavat palvelut sekä suunnittelun ja johtamisen tietotarpeet edellyttävät valtakunnallista kattavuutta. </w:t>
            </w:r>
            <w:r w:rsidR="00AC5C92">
              <w:t xml:space="preserve">Kohdealueen perustason toimijoille tarjotaan </w:t>
            </w:r>
            <w:r w:rsidR="00CD1A9E">
              <w:t xml:space="preserve">määrityksiä, </w:t>
            </w:r>
            <w:r w:rsidR="00AC5C92">
              <w:t>valmiita komponentteja, järjestelmäratkaisuja ja palveluja, joita ne voivat käyttää toiminnassaan.</w:t>
            </w:r>
            <w:r w:rsidR="00DD3EC6">
              <w:t xml:space="preserve"> </w:t>
            </w:r>
            <w:r w:rsidR="00DD3EC6" w:rsidRPr="00103C1C">
              <w:t xml:space="preserve">Yhteisiä järjestelmiä ja komponentteja toteuttavat mm. </w:t>
            </w:r>
            <w:r w:rsidR="004F7BB5" w:rsidRPr="00103C1C">
              <w:t xml:space="preserve">OKM/CSC, </w:t>
            </w:r>
            <w:r w:rsidR="00DD3EC6" w:rsidRPr="00103C1C">
              <w:t>Opetushallitus, Kansallisarkisto, Museovirasto ja Kansalliskirjasto.</w:t>
            </w:r>
          </w:p>
        </w:tc>
      </w:tr>
      <w:tr w:rsidR="00E31C87" w:rsidTr="00BA6B12">
        <w:tc>
          <w:tcPr>
            <w:tcW w:w="1951" w:type="dxa"/>
          </w:tcPr>
          <w:p w:rsidR="00E31C87" w:rsidRDefault="00E31C87" w:rsidP="00BA6B12">
            <w:r>
              <w:t>Peruste</w:t>
            </w:r>
          </w:p>
          <w:p w:rsidR="00E31C87" w:rsidRDefault="00E31C87" w:rsidP="00BA6B12"/>
        </w:tc>
        <w:tc>
          <w:tcPr>
            <w:tcW w:w="7827" w:type="dxa"/>
          </w:tcPr>
          <w:p w:rsidR="00E31C87" w:rsidRDefault="00497061" w:rsidP="00497061">
            <w:r>
              <w:t>Kohdealueella on valtavasti perustason toimijoita, joilla on vaihtelevat tarpeet toimintaansa liittyvään tiedonhallintaan. Tarjoamalla komponentteja ja palveluja perustasolle parannetaan tietojen yhtenäisyyttä, mikä auttaa kehittämään valtakunnallisia palveluja sekä suunnittelun ja johdon tietotukea.</w:t>
            </w:r>
            <w:r w:rsidR="00EA5253">
              <w:t xml:space="preserve"> Tietotason yhtenäisyyteen vaikutetaan myös yhteistyöllä kohdealueelle valmisohjelmistoja tuottavien ja palveluja yritysten kanssa.</w:t>
            </w:r>
          </w:p>
        </w:tc>
      </w:tr>
      <w:tr w:rsidR="00E31C87" w:rsidTr="00BA6B12">
        <w:tc>
          <w:tcPr>
            <w:tcW w:w="1951" w:type="dxa"/>
          </w:tcPr>
          <w:p w:rsidR="00E31C87" w:rsidRDefault="00E31C87" w:rsidP="00BA6B12">
            <w:r>
              <w:t>Vaikutus</w:t>
            </w:r>
          </w:p>
          <w:p w:rsidR="00E31C87" w:rsidRDefault="00E31C87" w:rsidP="00BA6B12"/>
        </w:tc>
        <w:tc>
          <w:tcPr>
            <w:tcW w:w="7827" w:type="dxa"/>
          </w:tcPr>
          <w:p w:rsidR="00E31C87" w:rsidRDefault="00135DE8" w:rsidP="00BA6B12">
            <w:r>
              <w:t>Toiminnassa käytettävien palvelujen ja valmisohjelmistojen määrityksiin vaikuttamalla helpotetaan tietojen saamista koko maan kattaviin palveluihin sekä suunnittelun, ohjauksen ja johtamisen käyttöön.</w:t>
            </w:r>
          </w:p>
        </w:tc>
      </w:tr>
    </w:tbl>
    <w:p w:rsidR="00B7379A" w:rsidRDefault="00B7379A" w:rsidP="00B7379A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951"/>
        <w:gridCol w:w="7827"/>
      </w:tblGrid>
      <w:tr w:rsidR="00525E48" w:rsidRPr="00E31C87" w:rsidTr="008B0ABE">
        <w:tc>
          <w:tcPr>
            <w:tcW w:w="1951" w:type="dxa"/>
          </w:tcPr>
          <w:p w:rsidR="00525E48" w:rsidRPr="00E31C87" w:rsidRDefault="00525E48" w:rsidP="00525E48">
            <w:pPr>
              <w:rPr>
                <w:b/>
              </w:rPr>
            </w:pPr>
            <w:r w:rsidRPr="00E31C87">
              <w:rPr>
                <w:b/>
              </w:rPr>
              <w:t xml:space="preserve">Periaate </w:t>
            </w:r>
            <w:r>
              <w:rPr>
                <w:b/>
              </w:rPr>
              <w:t>11</w:t>
            </w:r>
          </w:p>
        </w:tc>
        <w:tc>
          <w:tcPr>
            <w:tcW w:w="7827" w:type="dxa"/>
          </w:tcPr>
          <w:p w:rsidR="00525E48" w:rsidRPr="00E31C87" w:rsidRDefault="00886F79" w:rsidP="00886F79">
            <w:pPr>
              <w:rPr>
                <w:b/>
              </w:rPr>
            </w:pPr>
            <w:r>
              <w:rPr>
                <w:b/>
              </w:rPr>
              <w:t>Y</w:t>
            </w:r>
            <w:r w:rsidR="00525E48">
              <w:rPr>
                <w:b/>
              </w:rPr>
              <w:t>hteisissä tietojärjestelmissä ja palveluissa noudatetaan palvelukeskeistä arkkitehtuuria</w:t>
            </w:r>
          </w:p>
        </w:tc>
      </w:tr>
      <w:tr w:rsidR="00525E48" w:rsidTr="008B0ABE">
        <w:tc>
          <w:tcPr>
            <w:tcW w:w="1951" w:type="dxa"/>
          </w:tcPr>
          <w:p w:rsidR="00525E48" w:rsidRDefault="00525E48" w:rsidP="008B0ABE">
            <w:r>
              <w:t>Selitys</w:t>
            </w:r>
          </w:p>
          <w:p w:rsidR="00525E48" w:rsidRDefault="00525E48" w:rsidP="008B0ABE"/>
        </w:tc>
        <w:tc>
          <w:tcPr>
            <w:tcW w:w="7827" w:type="dxa"/>
          </w:tcPr>
          <w:p w:rsidR="00525E48" w:rsidRDefault="00886F79" w:rsidP="00886F79">
            <w:r>
              <w:t>Y</w:t>
            </w:r>
            <w:r w:rsidR="00525E48">
              <w:t xml:space="preserve">hteiset tietojärjestelmät ja palvelut suunnitellaan ja toteutetaan palvelukeskeistä arkkitehtuuria (SOA) noudattaen. Tämä mahdollistaa saman tietojärjestelmän / palvelun käytön useissa prosesseissa, palveluissa ja asiakkuuksissa. </w:t>
            </w:r>
          </w:p>
        </w:tc>
      </w:tr>
      <w:tr w:rsidR="00525E48" w:rsidTr="008B0ABE">
        <w:tc>
          <w:tcPr>
            <w:tcW w:w="1951" w:type="dxa"/>
          </w:tcPr>
          <w:p w:rsidR="00525E48" w:rsidRDefault="00525E48" w:rsidP="008B0ABE">
            <w:r>
              <w:t>Peruste</w:t>
            </w:r>
          </w:p>
          <w:p w:rsidR="00525E48" w:rsidRDefault="00525E48" w:rsidP="008B0ABE"/>
        </w:tc>
        <w:tc>
          <w:tcPr>
            <w:tcW w:w="7827" w:type="dxa"/>
          </w:tcPr>
          <w:p w:rsidR="00525E48" w:rsidRDefault="00525E48" w:rsidP="00525E48">
            <w:r>
              <w:t>Palvelukeskeinen arkkitehtuuri mahdollistaa järjestelmien ja komponenttien uudelleenkäytön kohdealueen laajuisesti, se vähentää kustannuksia ja nopeuttaa uusien palvelujen kehittämistä</w:t>
            </w:r>
          </w:p>
        </w:tc>
      </w:tr>
      <w:tr w:rsidR="00525E48" w:rsidTr="008B0ABE">
        <w:tc>
          <w:tcPr>
            <w:tcW w:w="1951" w:type="dxa"/>
          </w:tcPr>
          <w:p w:rsidR="00525E48" w:rsidRDefault="00525E48" w:rsidP="008B0ABE">
            <w:r>
              <w:t>Vaikutus</w:t>
            </w:r>
          </w:p>
          <w:p w:rsidR="00525E48" w:rsidRDefault="00525E48" w:rsidP="008B0ABE"/>
        </w:tc>
        <w:tc>
          <w:tcPr>
            <w:tcW w:w="7827" w:type="dxa"/>
          </w:tcPr>
          <w:p w:rsidR="00525E48" w:rsidRDefault="00525E48" w:rsidP="00886F79">
            <w:r>
              <w:lastRenderedPageBreak/>
              <w:t xml:space="preserve">Hyvin dokumentoidut palvelukuvaukset, avoimet rajapinnat ja toimintamallit </w:t>
            </w:r>
            <w:r>
              <w:lastRenderedPageBreak/>
              <w:t>mahdollistavat kehitettyjen palvelujen</w:t>
            </w:r>
            <w:r w:rsidR="00886F79">
              <w:t xml:space="preserve"> laajan</w:t>
            </w:r>
            <w:r>
              <w:t xml:space="preserve"> hyödyntämisen  kohdealueell</w:t>
            </w:r>
            <w:r w:rsidR="009669B7">
              <w:t>a</w:t>
            </w:r>
            <w:r>
              <w:t>.</w:t>
            </w:r>
          </w:p>
        </w:tc>
      </w:tr>
    </w:tbl>
    <w:p w:rsidR="00525E48" w:rsidRDefault="00525E48" w:rsidP="00B7379A"/>
    <w:p w:rsidR="00B7379A" w:rsidRPr="009458BD" w:rsidRDefault="000940DA" w:rsidP="000940DA">
      <w:pPr>
        <w:pStyle w:val="Otsikko1"/>
        <w:numPr>
          <w:ilvl w:val="0"/>
          <w:numId w:val="1"/>
        </w:numPr>
      </w:pPr>
      <w:r>
        <w:t>T</w:t>
      </w:r>
      <w:r w:rsidRPr="000940DA">
        <w:t>eknologiaan kohdistuvat periaatteet</w:t>
      </w:r>
    </w:p>
    <w:p w:rsidR="00B7379A" w:rsidRDefault="00B7379A" w:rsidP="00B7379A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951"/>
        <w:gridCol w:w="7827"/>
      </w:tblGrid>
      <w:tr w:rsidR="00E31C87" w:rsidRPr="00E31C87" w:rsidTr="00BA6B12">
        <w:tc>
          <w:tcPr>
            <w:tcW w:w="1951" w:type="dxa"/>
          </w:tcPr>
          <w:p w:rsidR="00E31C87" w:rsidRPr="00E31C87" w:rsidRDefault="00E31C87" w:rsidP="001C263B">
            <w:pPr>
              <w:rPr>
                <w:b/>
              </w:rPr>
            </w:pPr>
            <w:r>
              <w:rPr>
                <w:b/>
              </w:rPr>
              <w:t xml:space="preserve">Periaate </w:t>
            </w:r>
            <w:r w:rsidR="00AF1DB6">
              <w:rPr>
                <w:b/>
              </w:rPr>
              <w:t>1</w:t>
            </w:r>
            <w:r w:rsidR="001C263B">
              <w:rPr>
                <w:b/>
              </w:rPr>
              <w:t>2</w:t>
            </w:r>
          </w:p>
        </w:tc>
        <w:tc>
          <w:tcPr>
            <w:tcW w:w="7827" w:type="dxa"/>
          </w:tcPr>
          <w:p w:rsidR="00E31C87" w:rsidRPr="00E31C87" w:rsidRDefault="00077076" w:rsidP="00BA6B12">
            <w:pPr>
              <w:rPr>
                <w:b/>
              </w:rPr>
            </w:pPr>
            <w:r w:rsidRPr="00077076">
              <w:rPr>
                <w:b/>
              </w:rPr>
              <w:t>Järjestelmien välinen toiminta tukeutuu rajalliseen määrään erilaisia tekniikoita</w:t>
            </w:r>
          </w:p>
        </w:tc>
      </w:tr>
      <w:tr w:rsidR="00E31C87" w:rsidTr="00BA6B12">
        <w:tc>
          <w:tcPr>
            <w:tcW w:w="1951" w:type="dxa"/>
          </w:tcPr>
          <w:p w:rsidR="00E31C87" w:rsidRDefault="00E31C87" w:rsidP="00BA6B12">
            <w:r>
              <w:t>Selitys</w:t>
            </w:r>
          </w:p>
          <w:p w:rsidR="00E31C87" w:rsidRDefault="00E31C87" w:rsidP="00BA6B12"/>
        </w:tc>
        <w:tc>
          <w:tcPr>
            <w:tcW w:w="7827" w:type="dxa"/>
          </w:tcPr>
          <w:p w:rsidR="00E31C87" w:rsidRDefault="00077076" w:rsidP="00077076">
            <w:r>
              <w:t>H</w:t>
            </w:r>
            <w:r w:rsidRPr="00077076">
              <w:t xml:space="preserve">yödynnettävät teknologiset ratkaisut pyritään rajaamaan </w:t>
            </w:r>
            <w:r>
              <w:t xml:space="preserve">osa-aluekohtaisesti </w:t>
            </w:r>
            <w:r w:rsidRPr="00077076">
              <w:t xml:space="preserve">muutamaan vaihtoehtoon ottaen huomioon eri </w:t>
            </w:r>
            <w:r>
              <w:t>osa-alueiden</w:t>
            </w:r>
            <w:r w:rsidRPr="00077076">
              <w:t xml:space="preserve"> erityistarpeet. </w:t>
            </w:r>
            <w:r>
              <w:t>Teknologia-arkkitehtuurissa</w:t>
            </w:r>
            <w:r w:rsidRPr="00077076">
              <w:t xml:space="preserve"> tavoitellaan rajallista määrää erilaisia avoimia ja hyvin dokumentoituja rajapintoja tietojärjestelmien välille. Suositeltavia teknologisia ratkaisuja ylläpidetään arkkitehtuuriin olennaisesti kuuluvassa standardisalkussa. Teknologisissa valinnoissa suositaan avoimeen lähdekoodiin perustuvia ratkaisuja.</w:t>
            </w:r>
          </w:p>
        </w:tc>
      </w:tr>
      <w:tr w:rsidR="00E31C87" w:rsidTr="00BA6B12">
        <w:tc>
          <w:tcPr>
            <w:tcW w:w="1951" w:type="dxa"/>
          </w:tcPr>
          <w:p w:rsidR="00E31C87" w:rsidRDefault="00E31C87" w:rsidP="00BA6B12">
            <w:r>
              <w:t>Peruste</w:t>
            </w:r>
          </w:p>
          <w:p w:rsidR="00E31C87" w:rsidRDefault="00E31C87" w:rsidP="00BA6B12"/>
        </w:tc>
        <w:tc>
          <w:tcPr>
            <w:tcW w:w="7827" w:type="dxa"/>
          </w:tcPr>
          <w:p w:rsidR="00E31C87" w:rsidRDefault="00FA3879" w:rsidP="00BA6B12">
            <w:r>
              <w:t>Avoimet rajapinnat helpottavat järjestelmien ja tiedonsiirron integrointeja. Avoimeen lähdekoodiin perustuva kehitys mahdollistaa ratkaisujen levittämisen edullisesti kohdealueen heterogeeniselle toimijakunnalle.</w:t>
            </w:r>
          </w:p>
        </w:tc>
      </w:tr>
      <w:tr w:rsidR="00E31C87" w:rsidTr="00BA6B12">
        <w:tc>
          <w:tcPr>
            <w:tcW w:w="1951" w:type="dxa"/>
          </w:tcPr>
          <w:p w:rsidR="00E31C87" w:rsidRDefault="00E31C87" w:rsidP="00BA6B12">
            <w:r>
              <w:t>Vaikutus</w:t>
            </w:r>
          </w:p>
          <w:p w:rsidR="00E31C87" w:rsidRDefault="00E31C87" w:rsidP="00BA6B12"/>
        </w:tc>
        <w:tc>
          <w:tcPr>
            <w:tcW w:w="7827" w:type="dxa"/>
          </w:tcPr>
          <w:p w:rsidR="00E31C87" w:rsidRDefault="00BE15F9" w:rsidP="00BA6B12">
            <w:r>
              <w:t>Tietojen vaihto ja yhteiskäyttö on helppo järjestää.</w:t>
            </w:r>
          </w:p>
        </w:tc>
      </w:tr>
    </w:tbl>
    <w:p w:rsidR="0019744B" w:rsidRDefault="0019744B" w:rsidP="00B7379A"/>
    <w:p w:rsidR="00E31C87" w:rsidRDefault="00E31C87" w:rsidP="00B7379A"/>
    <w:p w:rsidR="0019744B" w:rsidRDefault="0019744B" w:rsidP="0019744B"/>
    <w:p w:rsidR="0019744B" w:rsidRPr="00B7379A" w:rsidRDefault="0019744B" w:rsidP="00B7379A"/>
    <w:sectPr w:rsidR="0019744B" w:rsidRPr="00B7379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ABE" w:rsidRDefault="008B0ABE" w:rsidP="001F3733">
      <w:pPr>
        <w:spacing w:after="0" w:line="240" w:lineRule="auto"/>
      </w:pPr>
      <w:r>
        <w:separator/>
      </w:r>
    </w:p>
  </w:endnote>
  <w:endnote w:type="continuationSeparator" w:id="0">
    <w:p w:rsidR="008B0ABE" w:rsidRDefault="008B0ABE" w:rsidP="001F3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ABE" w:rsidRDefault="008B0ABE" w:rsidP="001F3733">
      <w:pPr>
        <w:spacing w:after="0" w:line="240" w:lineRule="auto"/>
      </w:pPr>
      <w:r>
        <w:separator/>
      </w:r>
    </w:p>
  </w:footnote>
  <w:footnote w:type="continuationSeparator" w:id="0">
    <w:p w:rsidR="008B0ABE" w:rsidRDefault="008B0ABE" w:rsidP="001F3733">
      <w:pPr>
        <w:spacing w:after="0" w:line="240" w:lineRule="auto"/>
      </w:pPr>
      <w:r>
        <w:continuationSeparator/>
      </w:r>
    </w:p>
  </w:footnote>
  <w:footnote w:id="1">
    <w:p w:rsidR="008B0ABE" w:rsidRDefault="008B0ABE">
      <w:pPr>
        <w:pStyle w:val="Alaviitteenteksti"/>
      </w:pPr>
      <w:r>
        <w:rPr>
          <w:rStyle w:val="Alaviitteenviite"/>
        </w:rPr>
        <w:footnoteRef/>
      </w:r>
      <w:r>
        <w:t xml:space="preserve"> </w:t>
      </w:r>
      <w:r w:rsidRPr="00D10811">
        <w:t>www.yhteentoimivuus.fi/view/Asset/Asset.SingleView.xhtml?id=60058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17E95"/>
    <w:multiLevelType w:val="hybridMultilevel"/>
    <w:tmpl w:val="D34A5AC6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920"/>
    <w:rsid w:val="00024510"/>
    <w:rsid w:val="00025CAA"/>
    <w:rsid w:val="00026B7E"/>
    <w:rsid w:val="00070ABB"/>
    <w:rsid w:val="000750C6"/>
    <w:rsid w:val="00077076"/>
    <w:rsid w:val="000940DA"/>
    <w:rsid w:val="000953E7"/>
    <w:rsid w:val="0010273E"/>
    <w:rsid w:val="00103C1C"/>
    <w:rsid w:val="001138D1"/>
    <w:rsid w:val="00135DE8"/>
    <w:rsid w:val="0019744B"/>
    <w:rsid w:val="001C263B"/>
    <w:rsid w:val="001D73E7"/>
    <w:rsid w:val="001F0F9F"/>
    <w:rsid w:val="001F3733"/>
    <w:rsid w:val="00225F9E"/>
    <w:rsid w:val="002439BB"/>
    <w:rsid w:val="0024780B"/>
    <w:rsid w:val="0027180F"/>
    <w:rsid w:val="00282EA7"/>
    <w:rsid w:val="002C276D"/>
    <w:rsid w:val="002F1FA7"/>
    <w:rsid w:val="002F7FA4"/>
    <w:rsid w:val="00322FEC"/>
    <w:rsid w:val="00344C4A"/>
    <w:rsid w:val="003605C4"/>
    <w:rsid w:val="00382F65"/>
    <w:rsid w:val="003D1C42"/>
    <w:rsid w:val="003E538E"/>
    <w:rsid w:val="003E7EE6"/>
    <w:rsid w:val="00402083"/>
    <w:rsid w:val="00446028"/>
    <w:rsid w:val="004543DA"/>
    <w:rsid w:val="00497061"/>
    <w:rsid w:val="004C128A"/>
    <w:rsid w:val="004D3147"/>
    <w:rsid w:val="004E1EA6"/>
    <w:rsid w:val="004F4B3B"/>
    <w:rsid w:val="004F7BB5"/>
    <w:rsid w:val="00525E48"/>
    <w:rsid w:val="0052700E"/>
    <w:rsid w:val="0055091A"/>
    <w:rsid w:val="00551D3F"/>
    <w:rsid w:val="00580475"/>
    <w:rsid w:val="005C52EB"/>
    <w:rsid w:val="005F0BF9"/>
    <w:rsid w:val="006200A6"/>
    <w:rsid w:val="00640546"/>
    <w:rsid w:val="00642247"/>
    <w:rsid w:val="00643395"/>
    <w:rsid w:val="00652D45"/>
    <w:rsid w:val="00657E44"/>
    <w:rsid w:val="00674A85"/>
    <w:rsid w:val="006C23AC"/>
    <w:rsid w:val="006C41CA"/>
    <w:rsid w:val="00702D34"/>
    <w:rsid w:val="00705E41"/>
    <w:rsid w:val="00741B65"/>
    <w:rsid w:val="00745C1F"/>
    <w:rsid w:val="0075029B"/>
    <w:rsid w:val="007600AB"/>
    <w:rsid w:val="00765E7F"/>
    <w:rsid w:val="007B098A"/>
    <w:rsid w:val="007D4807"/>
    <w:rsid w:val="007E331E"/>
    <w:rsid w:val="007E4024"/>
    <w:rsid w:val="00863AEA"/>
    <w:rsid w:val="00886F79"/>
    <w:rsid w:val="008B0ABE"/>
    <w:rsid w:val="008B0E32"/>
    <w:rsid w:val="0090419D"/>
    <w:rsid w:val="009216D6"/>
    <w:rsid w:val="009458BD"/>
    <w:rsid w:val="00956A81"/>
    <w:rsid w:val="009669B7"/>
    <w:rsid w:val="00975891"/>
    <w:rsid w:val="009A7D84"/>
    <w:rsid w:val="009B1B4C"/>
    <w:rsid w:val="009B27E2"/>
    <w:rsid w:val="009F1354"/>
    <w:rsid w:val="00A3639E"/>
    <w:rsid w:val="00A74D33"/>
    <w:rsid w:val="00A77735"/>
    <w:rsid w:val="00A8411A"/>
    <w:rsid w:val="00A87FD8"/>
    <w:rsid w:val="00A93911"/>
    <w:rsid w:val="00A93BF2"/>
    <w:rsid w:val="00AA5136"/>
    <w:rsid w:val="00AC5C92"/>
    <w:rsid w:val="00AD42BC"/>
    <w:rsid w:val="00AF1DB6"/>
    <w:rsid w:val="00B16F1E"/>
    <w:rsid w:val="00B439A4"/>
    <w:rsid w:val="00B6777D"/>
    <w:rsid w:val="00B7379A"/>
    <w:rsid w:val="00B7488D"/>
    <w:rsid w:val="00BA0EA5"/>
    <w:rsid w:val="00BA6B12"/>
    <w:rsid w:val="00BE15F9"/>
    <w:rsid w:val="00BF161D"/>
    <w:rsid w:val="00BF3CD3"/>
    <w:rsid w:val="00BF6C78"/>
    <w:rsid w:val="00C0441A"/>
    <w:rsid w:val="00C06CE3"/>
    <w:rsid w:val="00C219AE"/>
    <w:rsid w:val="00C3571E"/>
    <w:rsid w:val="00C35FEF"/>
    <w:rsid w:val="00CD1A9E"/>
    <w:rsid w:val="00D10811"/>
    <w:rsid w:val="00D24BEE"/>
    <w:rsid w:val="00D3091C"/>
    <w:rsid w:val="00D448FD"/>
    <w:rsid w:val="00D72E79"/>
    <w:rsid w:val="00D72F66"/>
    <w:rsid w:val="00DC439B"/>
    <w:rsid w:val="00DD3EC6"/>
    <w:rsid w:val="00DD500F"/>
    <w:rsid w:val="00E05A2E"/>
    <w:rsid w:val="00E17D23"/>
    <w:rsid w:val="00E31BC3"/>
    <w:rsid w:val="00E31C87"/>
    <w:rsid w:val="00E33CA0"/>
    <w:rsid w:val="00EA5253"/>
    <w:rsid w:val="00EA7A85"/>
    <w:rsid w:val="00EE0934"/>
    <w:rsid w:val="00EE1E8A"/>
    <w:rsid w:val="00EE4BF1"/>
    <w:rsid w:val="00F42920"/>
    <w:rsid w:val="00F74ACE"/>
    <w:rsid w:val="00F777A3"/>
    <w:rsid w:val="00F84C47"/>
    <w:rsid w:val="00FA3879"/>
    <w:rsid w:val="00FA5136"/>
    <w:rsid w:val="00FD44E7"/>
    <w:rsid w:val="00FE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B737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B737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ulukkoRuudukko">
    <w:name w:val="Table Grid"/>
    <w:basedOn w:val="Normaalitaulukko"/>
    <w:uiPriority w:val="59"/>
    <w:rsid w:val="00E31C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4F7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F7BB5"/>
    <w:rPr>
      <w:rFonts w:ascii="Tahoma" w:hAnsi="Tahoma" w:cs="Tahoma"/>
      <w:sz w:val="16"/>
      <w:szCs w:val="16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1F3733"/>
    <w:pPr>
      <w:spacing w:after="0" w:line="240" w:lineRule="auto"/>
    </w:pPr>
    <w:rPr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1F3733"/>
    <w:rPr>
      <w:sz w:val="20"/>
      <w:szCs w:val="20"/>
    </w:rPr>
  </w:style>
  <w:style w:type="character" w:styleId="Alaviitteenviite">
    <w:name w:val="footnote reference"/>
    <w:basedOn w:val="Kappaleenoletusfontti"/>
    <w:uiPriority w:val="99"/>
    <w:semiHidden/>
    <w:unhideWhenUsed/>
    <w:rsid w:val="001F373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B737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B737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ulukkoRuudukko">
    <w:name w:val="Table Grid"/>
    <w:basedOn w:val="Normaalitaulukko"/>
    <w:uiPriority w:val="59"/>
    <w:rsid w:val="00E31C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4F7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F7BB5"/>
    <w:rPr>
      <w:rFonts w:ascii="Tahoma" w:hAnsi="Tahoma" w:cs="Tahoma"/>
      <w:sz w:val="16"/>
      <w:szCs w:val="16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1F3733"/>
    <w:pPr>
      <w:spacing w:after="0" w:line="240" w:lineRule="auto"/>
    </w:pPr>
    <w:rPr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1F3733"/>
    <w:rPr>
      <w:sz w:val="20"/>
      <w:szCs w:val="20"/>
    </w:rPr>
  </w:style>
  <w:style w:type="character" w:styleId="Alaviitteenviite">
    <w:name w:val="footnote reference"/>
    <w:basedOn w:val="Kappaleenoletusfontti"/>
    <w:uiPriority w:val="99"/>
    <w:semiHidden/>
    <w:unhideWhenUsed/>
    <w:rsid w:val="001F37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895CD-2E8B-432F-B3E5-4B59687B6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1261</Words>
  <Characters>10222</Characters>
  <Application>Microsoft Office Word</Application>
  <DocSecurity>4</DocSecurity>
  <Lines>85</Lines>
  <Paragraphs>22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Olavi Köngäs</dc:creator>
  <cp:lastModifiedBy>Granholm Leena</cp:lastModifiedBy>
  <cp:revision>2</cp:revision>
  <dcterms:created xsi:type="dcterms:W3CDTF">2013-06-11T12:53:00Z</dcterms:created>
  <dcterms:modified xsi:type="dcterms:W3CDTF">2013-06-11T12:53:00Z</dcterms:modified>
</cp:coreProperties>
</file>